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F7" w:rsidRPr="00C66264" w:rsidRDefault="00D01BF7" w:rsidP="00C66264">
      <w:pPr>
        <w:spacing w:line="360" w:lineRule="auto"/>
        <w:jc w:val="both"/>
        <w:rPr>
          <w:rFonts w:ascii="Times New Roman" w:hAnsi="Times New Roman" w:cs="Times New Roman"/>
          <w:b/>
          <w:sz w:val="24"/>
          <w:szCs w:val="24"/>
        </w:rPr>
      </w:pPr>
      <w:r w:rsidRPr="00C66264">
        <w:rPr>
          <w:rFonts w:ascii="Times New Roman" w:hAnsi="Times New Roman" w:cs="Times New Roman"/>
          <w:b/>
          <w:sz w:val="24"/>
          <w:szCs w:val="24"/>
        </w:rPr>
        <w:t>Platforma udostępniania on-line przedsiębiorcom usług i zasobów cyfrowych rejestrów medycznych (P2)</w:t>
      </w:r>
    </w:p>
    <w:p w:rsidR="00D01BF7" w:rsidRDefault="00D01BF7" w:rsidP="00C66264">
      <w:pPr>
        <w:spacing w:after="0" w:line="360" w:lineRule="auto"/>
        <w:jc w:val="both"/>
        <w:rPr>
          <w:rFonts w:ascii="Times New Roman" w:hAnsi="Times New Roman" w:cs="Times New Roman"/>
        </w:rPr>
      </w:pPr>
      <w:r w:rsidRPr="00F21AD9">
        <w:rPr>
          <w:rFonts w:ascii="Times New Roman" w:hAnsi="Times New Roman" w:cs="Times New Roman"/>
        </w:rPr>
        <w:t>Aktualnie na Platformie P2 znajdują się poniższe</w:t>
      </w:r>
      <w:r>
        <w:rPr>
          <w:rFonts w:ascii="Times New Roman" w:hAnsi="Times New Roman" w:cs="Times New Roman"/>
        </w:rPr>
        <w:t xml:space="preserve"> rejestry:</w:t>
      </w:r>
    </w:p>
    <w:p w:rsidR="00D01BF7" w:rsidRPr="00F21AD9"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Aptek (RA)</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Krajowy Rejestr Zezwoleń na Prowadzenie Aptek Ogólnodostępnych, Punktów Aptecznych oraz Rejestr Udzielonych Zgód na Prowadzenie Aptek Szpitalnych i Zakładowych zwany w skrócie Rejestrem Aptek prowadzony jest przez właściwe miejscowo Wojewódzkie Inspektoraty Farmaceutyczne zgodnie z art. 107 ustawy Prawo farmaceutyczne oraz rozporządzeniem Ministra Zdrowia z dnia 6 listopada 2012 r. w sprawie opisu systemu teleinformatycznego, w którym prowadzony jest Krajowy Rejestr Zezwoleń na Prowadzenie Aptek Ogólnodostępnych, Punktów Aptecznych oraz Rejestr Udzielonych Zgód na Prowadzenie Aptek Szpitalnych i Zakładowych</w:t>
      </w:r>
    </w:p>
    <w:p w:rsidR="00D01BF7" w:rsidRPr="00105548" w:rsidRDefault="00D01BF7" w:rsidP="00C66264">
      <w:pPr>
        <w:spacing w:after="0" w:line="360" w:lineRule="auto"/>
        <w:jc w:val="both"/>
        <w:rPr>
          <w:rFonts w:ascii="Times New Roman" w:hAnsi="Times New Roman" w:cs="Times New Roman"/>
          <w:b/>
        </w:rPr>
      </w:pPr>
      <w:r>
        <w:rPr>
          <w:rFonts w:ascii="Times New Roman" w:hAnsi="Times New Roman" w:cs="Times New Roman"/>
          <w:b/>
        </w:rPr>
        <w:t>Rejestr zapewnia następujące minimalne funkcjonalności</w:t>
      </w:r>
      <w:r w:rsidRPr="00105548">
        <w:rPr>
          <w:rFonts w:ascii="Times New Roman" w:hAnsi="Times New Roman" w:cs="Times New Roman"/>
          <w:b/>
        </w:rPr>
        <w:t>:</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gromadzenie danych dotyczących zezwoleń na prowadzenie aptek ogólnodostępnych, punktów aptecznych, zgód na prowadzenie aptek szpitalnych, zakładowych i działów farmacji szpitalnej, a także dotyczących podmiotów, którym zostało wydane zezwolenie lub zgoda;</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możliwość złożenia wniosku o wydanie lub zmianę zezwolenia na prowadzenie apteki ogólnodostępnej, punktu aptecznego lub o wydanie lub zmianę zgody na prowadzenie apteki szpitalnej, zakładowej lub działu farmacji szpitalnej w postaci dokumentu elektronicznego, za pośrednictwem elektronicznej platformy usług administracji publicznej, zwanej dalej „</w:t>
      </w:r>
      <w:proofErr w:type="spellStart"/>
      <w:r w:rsidRPr="008B27C6">
        <w:rPr>
          <w:rFonts w:ascii="Times New Roman" w:hAnsi="Times New Roman"/>
        </w:rPr>
        <w:t>ePUAP</w:t>
      </w:r>
      <w:proofErr w:type="spellEnd"/>
      <w:r w:rsidRPr="008B27C6">
        <w:rPr>
          <w:rFonts w:ascii="Times New Roman" w:hAnsi="Times New Roman"/>
        </w:rPr>
        <w:t xml:space="preserve">” i formularza elektronicznego umieszczonego na ESP </w:t>
      </w:r>
      <w:proofErr w:type="spellStart"/>
      <w:r w:rsidRPr="008B27C6">
        <w:rPr>
          <w:rFonts w:ascii="Times New Roman" w:hAnsi="Times New Roman"/>
        </w:rPr>
        <w:t>eGATE</w:t>
      </w:r>
      <w:proofErr w:type="spellEnd"/>
      <w:r w:rsidRPr="008B27C6">
        <w:rPr>
          <w:rFonts w:ascii="Times New Roman" w:hAnsi="Times New Roman"/>
        </w:rPr>
        <w:t>, a także przesyłania do wnioskodawcy dokumentów elektronicznych wytworzonych przez wojewódzkiego inspektora farmaceutycznego,</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modyfikowanie projektów decyzji administracyjnych dotyczących wydawania lub zmiany zezwoleń na prowadzenie aptek ogólnodostępnych, punktów aptecznych, zgód na prowadzenie aptek szpitalnych, zakładowych lu</w:t>
      </w:r>
      <w:r w:rsidR="00EB284F">
        <w:rPr>
          <w:rFonts w:ascii="Times New Roman" w:hAnsi="Times New Roman"/>
        </w:rPr>
        <w:t>b działów farmacji szpitalnej oraz</w:t>
      </w:r>
      <w:r w:rsidRPr="008B27C6">
        <w:rPr>
          <w:rFonts w:ascii="Times New Roman" w:hAnsi="Times New Roman"/>
        </w:rPr>
        <w:t xml:space="preserve"> po zaakceptowaniu treści opatrywanie ich przez organ podpisem elektronicznym. </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 xml:space="preserve">tworzenie i modyfikowanie projektów innych dokumentów, a po zaakceptowaniu treści opatrywanie ich przez organ podpisem elektronicznym. </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 xml:space="preserve">przechowywanie w systemie dokumentów w postaci elektronicznej przesłanych przez podmiot wnioskujący o wydanie zezwolenia lub zgody lub dla którego wydane zostało zezwolenie lub </w:t>
      </w:r>
      <w:bookmarkStart w:id="0" w:name="_GoBack"/>
      <w:bookmarkEnd w:id="0"/>
      <w:r w:rsidRPr="008B27C6">
        <w:rPr>
          <w:rFonts w:ascii="Times New Roman" w:hAnsi="Times New Roman"/>
        </w:rPr>
        <w:t>zgoda, a także dokumentów w postaci elektronicznej wydanych przez organ;</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automatyczne uzupełnianie danych w systemie, przez wykorzystanie danych zawartych w</w:t>
      </w:r>
      <w:r>
        <w:rPr>
          <w:rFonts w:ascii="Times New Roman" w:hAnsi="Times New Roman"/>
        </w:rPr>
        <w:t> </w:t>
      </w:r>
      <w:r w:rsidRPr="008B27C6">
        <w:rPr>
          <w:rFonts w:ascii="Times New Roman" w:hAnsi="Times New Roman"/>
        </w:rPr>
        <w:t xml:space="preserve">zezwoleniu na prowadzenie apteki ogólnodostępnej, punktu aptecznego lub zgodzie na prowadzenie apteki szpitalnej, zakładowej lub działu farmacji szpitalnej, a także w powiązanym wniosku, jeżeli wydanie zezwolenia lub zgody nastąpiło w postaci elektronicznej </w:t>
      </w:r>
      <w:r>
        <w:rPr>
          <w:rFonts w:ascii="Times New Roman" w:hAnsi="Times New Roman"/>
        </w:rPr>
        <w:t>w </w:t>
      </w:r>
      <w:r w:rsidRPr="008B27C6">
        <w:rPr>
          <w:rFonts w:ascii="Times New Roman" w:hAnsi="Times New Roman"/>
        </w:rPr>
        <w:t>systemie, w przypadku gdy wydanie zezwolenia lub zgody nastąpiło poza systemem ręczne wprowadzenie danych do systemu;</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udostępnianie do systemu informacji w ochronie zdrowia, o którym mowa w art. 1 ust. 1 ustawy z dnia 28 kwietnia 2011 r. o systemie informacji w ochronie zdrowia (Dz. U. Nr 113, poz. 657 i Nr 174, poz. 1039), oraz innym podmiotom, w zakresie, w jakim będą posiadać interes prawny, danych z systemu za pomocą usług sieciowych stanowiących mechanizm dostępu do danych z</w:t>
      </w:r>
      <w:r>
        <w:rPr>
          <w:rFonts w:ascii="Times New Roman" w:hAnsi="Times New Roman"/>
        </w:rPr>
        <w:t> </w:t>
      </w:r>
      <w:r w:rsidRPr="008B27C6">
        <w:rPr>
          <w:rFonts w:ascii="Times New Roman" w:hAnsi="Times New Roman"/>
        </w:rPr>
        <w:t>wykorzystaniem protokołów sieciowych;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powszechny dostęp do systemu w zakresie danych zawartych w zezwoleniu na prowadzenie apteki ogólnodostępnej, punktu aptecznego lub zgodzie na prowadzenie apteki szpitalnej, zakładowej lub działu farmacji szpitalnej za pośrednictwem odrębnej strony internetowej umożliwiającej prezentację oraz wyszukiwanie danych;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dostęp do historii zmian dotyczących wprowadzenia, usunięcia lub modyfikacji danych w</w:t>
      </w:r>
      <w:r>
        <w:rPr>
          <w:rFonts w:ascii="Times New Roman" w:hAnsi="Times New Roman"/>
        </w:rPr>
        <w:t> </w:t>
      </w:r>
      <w:r w:rsidRPr="008B27C6">
        <w:rPr>
          <w:rFonts w:ascii="Times New Roman" w:hAnsi="Times New Roman"/>
        </w:rPr>
        <w:t>systemie dla upoważnionych pracowników właściwych wojewódzkich inspektoratów farmaceutycznych;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zapewnienie bezpieczeństwa przesyłanych danych, w tym danych udostępnianych za pomocą usług sieciowych, o których mowa w pkt 5, przez wykorzystanie szyfrowania kanału komunikacyjnego;</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generowanie statystyk i raportów dotyczących danych zawartych w systemie.</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rejestrze udostępniane są informacje m.in. nt. zakresu zezwolenia, właściciela czy dane adresowe apteki. Rejestr ten stanowi referencyjne źródło informacji nt. aptek funkcjonujących na terenie całego kraju.</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Hurtowni Farmaceutycznych (RHF)</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Rejestr Zezwoleń na Prowadzenie Hurtowni Farmaceutycznej zwany Rejestrem Hurtowni Farmaceutycznych prowadzony jest przez Główny Inspektorat Farmaceutyczny zgodnie z art. 83 ustawy Prawo farmaceutyczne oraz rozporządzeniem Ministra Zdrowia z dnia 3 października 2012 r., w sprawie opisu systemu teleinformatycznego, w którym jest prowadzony Rejestr Zezwoleń na Prowadzenie Hurtowni Farmaceutycznej.</w:t>
      </w:r>
    </w:p>
    <w:p w:rsidR="00D01BF7" w:rsidRPr="00A06138" w:rsidRDefault="00D01BF7" w:rsidP="00C66264">
      <w:pPr>
        <w:spacing w:after="0" w:line="360" w:lineRule="auto"/>
        <w:jc w:val="both"/>
        <w:rPr>
          <w:rFonts w:ascii="Times New Roman" w:hAnsi="Times New Roman" w:cs="Times New Roman"/>
          <w:b/>
        </w:rPr>
      </w:pPr>
      <w:r w:rsidRPr="00A06138">
        <w:rPr>
          <w:rFonts w:ascii="Times New Roman" w:hAnsi="Times New Roman" w:cs="Times New Roman"/>
          <w:b/>
        </w:rPr>
        <w:lastRenderedPageBreak/>
        <w:t>Rejestr</w:t>
      </w:r>
      <w:r>
        <w:rPr>
          <w:rFonts w:ascii="Times New Roman" w:hAnsi="Times New Roman" w:cs="Times New Roman"/>
          <w:b/>
        </w:rPr>
        <w:t xml:space="preserve"> zapewnia następujące minimalne funkcjonalności</w:t>
      </w:r>
      <w:r w:rsidRPr="00A06138">
        <w:rPr>
          <w:rFonts w:ascii="Times New Roman" w:hAnsi="Times New Roman" w:cs="Times New Roman"/>
          <w:b/>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gromadzenie danych dotyczących zezwoleń na prowadzenie hurtowni farmaceutycznej</w:t>
      </w:r>
      <w:r>
        <w:rPr>
          <w:rFonts w:ascii="Times New Roman" w:hAnsi="Times New Roman"/>
        </w:rPr>
        <w:t xml:space="preserve"> oraz</w:t>
      </w:r>
      <w:r w:rsidRPr="008B27C6">
        <w:rPr>
          <w:rFonts w:ascii="Times New Roman" w:hAnsi="Times New Roman"/>
        </w:rPr>
        <w:t xml:space="preserve"> dotyczących podmiotów, którym zostało wydane zezwolenie;</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możliwość złożenia wniosku o wydanie lub zmianę zezwolenia na prowadzenie hurtowni farmaceutycznej w postaci dokumentu elektronicznego, na elektroniczną skrzynkę podawczą właściwego organu administracji publicznej oraz za pośrednictwem elektronicznej platformy usług administracji publicznej, zwanej dalej „</w:t>
      </w:r>
      <w:proofErr w:type="spellStart"/>
      <w:r w:rsidRPr="008B27C6">
        <w:rPr>
          <w:rFonts w:ascii="Times New Roman" w:hAnsi="Times New Roman"/>
        </w:rPr>
        <w:t>ePUAP</w:t>
      </w:r>
      <w:proofErr w:type="spellEnd"/>
      <w:r w:rsidRPr="008B27C6">
        <w:rPr>
          <w:rFonts w:ascii="Times New Roman" w:hAnsi="Times New Roman"/>
        </w:rPr>
        <w:t>”, a także przesyłania do wnioskodawcy dokumentów elektronicznych wytworzonych przez Głównego Inspektora Farmaceutycznego, w rezultacie złożonego wniosku;</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modyfikowanie projektów decyzji administracyjnych dotyczących wydawania lub zmiany zezwoleń na prowadz</w:t>
      </w:r>
      <w:r>
        <w:rPr>
          <w:rFonts w:ascii="Times New Roman" w:hAnsi="Times New Roman"/>
        </w:rPr>
        <w:t xml:space="preserve">enie hurtowni farmaceutycznej oraz </w:t>
      </w:r>
      <w:r w:rsidRPr="008B27C6">
        <w:rPr>
          <w:rFonts w:ascii="Times New Roman" w:hAnsi="Times New Roman"/>
        </w:rPr>
        <w:t>po zaakceptowaniu treści opatrywanie ich przez organ podpisem elektronicznym</w:t>
      </w:r>
      <w:r>
        <w:rPr>
          <w:rFonts w:ascii="Times New Roman" w:hAnsi="Times New Roman"/>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w:t>
      </w:r>
      <w:r>
        <w:rPr>
          <w:rFonts w:ascii="Times New Roman" w:hAnsi="Times New Roman"/>
        </w:rPr>
        <w:t>e projektów innych dokumentów oraz</w:t>
      </w:r>
      <w:r w:rsidRPr="008B27C6">
        <w:rPr>
          <w:rFonts w:ascii="Times New Roman" w:hAnsi="Times New Roman"/>
        </w:rPr>
        <w:t xml:space="preserve"> po zaakceptowaniu treści opatrywanie ich przez organ podpisem elektronicznym albo podpisem potwierdzonym profilem zaufanym </w:t>
      </w:r>
      <w:proofErr w:type="spellStart"/>
      <w:r w:rsidRPr="008B27C6">
        <w:rPr>
          <w:rFonts w:ascii="Times New Roman" w:hAnsi="Times New Roman"/>
        </w:rPr>
        <w:t>ePUAP</w:t>
      </w:r>
      <w:proofErr w:type="spellEnd"/>
      <w:r w:rsidRPr="008B27C6">
        <w:rPr>
          <w:rFonts w:ascii="Times New Roman" w:hAnsi="Times New Roman"/>
        </w:rPr>
        <w:t xml:space="preserve"> </w:t>
      </w:r>
      <w:r>
        <w:rPr>
          <w:rFonts w:ascii="Times New Roman" w:hAnsi="Times New Roman"/>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przechowywanie w systemie dokumentów w postaci elektronicznej przesłanych przez podmiot wnioskujący o wydanie zezwolenia lub dla którego wydane zostało zezwolenie, a także dokumentów w postaci elektronicznej wydanych przez organ;</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automatyczne uzupełnianie danych w systemie przez wykorzystanie danych zawartych w</w:t>
      </w:r>
      <w:r>
        <w:rPr>
          <w:rFonts w:ascii="Times New Roman" w:hAnsi="Times New Roman"/>
        </w:rPr>
        <w:t> </w:t>
      </w:r>
      <w:r w:rsidRPr="008B27C6">
        <w:rPr>
          <w:rFonts w:ascii="Times New Roman" w:hAnsi="Times New Roman"/>
        </w:rPr>
        <w:t>zezwoleniu na prowadzenie hurtowni farmaceutycznej, a także w powiązanym wniosku, jeżeli wydanie zezwolenia nastąpiło w postaci elektronicznej na ESP</w:t>
      </w:r>
      <w:r>
        <w:rPr>
          <w:rFonts w:ascii="Times New Roman" w:hAnsi="Times New Roman"/>
        </w:rPr>
        <w:t>,</w:t>
      </w:r>
      <w:r w:rsidRPr="008B27C6">
        <w:rPr>
          <w:rFonts w:ascii="Times New Roman" w:hAnsi="Times New Roman"/>
        </w:rPr>
        <w:t xml:space="preserve"> w przypadku gdy wydanie zezwolenia nastąpiło poza systemem ręcznego wprowadzenia danych do systemu;</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udostępnianie do systemu informacji w ochronie zdrowia oraz innym podmiotom, w zakresie, w jakim będą posiadać interes prawny, danych z systemu za pomocą usług sieciowych stanowiących mechanizm dostępu do danych z wykorzystaniem protokołów sieciowych;</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powszechny dostęp do systemu w zakresie danych zawartych w zezwoleniu na prowadzenie hurtowni farmaceutycznej za pośrednictwem odrębnej strony internetowej umożliwiającej prezentację oraz wyszukiwanie danych;</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dostęp do historii zmian dotyczących wprowadzenia, usunięcia lub modyfikacji danych w</w:t>
      </w:r>
      <w:r>
        <w:rPr>
          <w:rFonts w:ascii="Times New Roman" w:hAnsi="Times New Roman"/>
        </w:rPr>
        <w:t> </w:t>
      </w:r>
      <w:r w:rsidRPr="008B27C6">
        <w:rPr>
          <w:rFonts w:ascii="Times New Roman" w:hAnsi="Times New Roman"/>
        </w:rPr>
        <w:t>systemie dla upoważnionych pracowników Głównego Inspektoratu Farmaceutycznego;</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zapewnienie bezpieczeństwa przesyłanych danych, w tym danych udostępnianych za pomocą usług sieciowych, o których mowa w pkt 5, przez wykorzystanie szyfrowania kanału komunikacyjnego;</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generowanie statystyk i raportów dotyczących danych zawartych w systemie.</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rejestrze udostępniane są informacje m.in. nt. zakresu zezwolenia, właścicielu czy dane adresowe hurtowni. Rejestr ten stanowi referencyjne źródło informacji nt. hurtowni farmaceutycznych funkcjonujących na terenie całego kraju.</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rPr>
      </w:pPr>
    </w:p>
    <w:p w:rsidR="00D01BF7" w:rsidRPr="008B27C6" w:rsidRDefault="00E07E46" w:rsidP="00C66264">
      <w:pPr>
        <w:spacing w:after="0" w:line="360" w:lineRule="auto"/>
        <w:jc w:val="both"/>
        <w:rPr>
          <w:rFonts w:ascii="Times New Roman" w:hAnsi="Times New Roman" w:cs="Times New Roman"/>
          <w:b/>
        </w:rPr>
      </w:pPr>
      <w:r>
        <w:rPr>
          <w:rFonts w:ascii="Times New Roman" w:hAnsi="Times New Roman" w:cs="Times New Roman"/>
          <w:b/>
        </w:rPr>
        <w:t>Rejestr</w:t>
      </w:r>
      <w:r w:rsidR="00D01BF7" w:rsidRPr="008B27C6">
        <w:rPr>
          <w:rFonts w:ascii="Times New Roman" w:hAnsi="Times New Roman" w:cs="Times New Roman"/>
          <w:b/>
        </w:rPr>
        <w:t xml:space="preserve"> Systemów Kodowania (RSK)</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Służy do tworzenia i rejestrowania hierarchicznych systemów kodowania używanych w systemie ochrony zdrowia. Właścicielem i administratorem systemu jest CSIOZ, które zostało powołane do pełnienia roli Polskiego Organu Rejestracji Systemów Kodowania w Ochronie Zdrowia. Procesy, zaimplementowane w systemie, związane z rejestracją systemów kodowania, są zgodne z normą PN-EN 1068:2005.</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Rejestr Systemów Kodowania jest miejscem z którego można pobrać klasyfikacje oraz słowniki medyczne zarówno międzynarodowe, jak i krajowe przydatne w codziennym użytku podmiotów leczniczych. Pobranie danych możliwe jest po zalogowaniu do systemu. </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Produktów Leczniczych (RPL)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Zawiera informacje o wszystkich produktach leczniczych przeznaczonych dla ludzi oraz weterynaryjnych dopuszczonych do obrotu na terytorium Rzeczypospolitej Polskiej. Znajdują się tam między innymi dane dot. numerów pozwoleń na dopuszczenie do obrotu produktów leczniczych oraz daty wydania pozwoleń, terminy ważności oraz nazwy produktów leczniczych oraz określenie postaci i</w:t>
      </w:r>
      <w:r>
        <w:rPr>
          <w:rFonts w:ascii="Times New Roman" w:hAnsi="Times New Roman" w:cs="Times New Roman"/>
        </w:rPr>
        <w:t> </w:t>
      </w:r>
      <w:r w:rsidRPr="008B27C6">
        <w:rPr>
          <w:rFonts w:ascii="Times New Roman" w:hAnsi="Times New Roman" w:cs="Times New Roman"/>
        </w:rPr>
        <w:t>dawki.</w:t>
      </w:r>
    </w:p>
    <w:p w:rsidR="00D01BF7"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Centralny Wykaz Produktów Leczniczych realizowany jest przez system Rejestr Produktów Leczniczych Dopuszczonych do Obrotu na terytorium Rzeczypospolitej Polskiej. </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System zwiera </w:t>
      </w:r>
      <w:r>
        <w:rPr>
          <w:rFonts w:ascii="Times New Roman" w:hAnsi="Times New Roman" w:cs="Times New Roman"/>
        </w:rPr>
        <w:t>następujące dane</w:t>
      </w:r>
      <w:r w:rsidRPr="008B27C6">
        <w:rPr>
          <w:rFonts w:ascii="Times New Roman" w:hAnsi="Times New Roman" w:cs="Times New Roman"/>
        </w:rPr>
        <w:t>:</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numer pozwolenia na dopuszczenie do obrotu produktu leczniczego oraz datę jego wydania i</w:t>
      </w:r>
      <w:r>
        <w:rPr>
          <w:rFonts w:ascii="Times New Roman" w:hAnsi="Times New Roman"/>
        </w:rPr>
        <w:t> </w:t>
      </w:r>
      <w:r w:rsidRPr="008B27C6">
        <w:rPr>
          <w:rFonts w:ascii="Times New Roman" w:hAnsi="Times New Roman"/>
        </w:rPr>
        <w:t>termin ważności,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produktu leczniczego oraz określenie postaci i dawki,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powszechnie stosowaną produktu leczniczego, jeżeli dotyczy,</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i adres podmiotu odpowiedzialnego,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nazwę i adres wytwórcy oraz miejsca wytwarzania, gdzie następuje zwolnienie serii,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pełne określenie składu jakościowego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kategorię dostępności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okres ważności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kod zgodny z systemem EAN UCC przyznany dla produktów leczniczych stosowanych u ludzi,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informacje na temat warunków przechowywania i transportu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charakterystykę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wskazania i przeciwwskazania stosowania,</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imię i nazwisko oraz adres osoby odpowiedzialnej za ciągły nadzór nad monitorowaniem bezpieczeństwa stosowania produktu leczniczego;</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produktu leczniczego oraz określenie postaci i dawki,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powszechnie stosowaną produktu leczniczego, jeżeli taka występuje,</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i adres podmiotu odpowiedzialnego,</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wielkość opakowania,</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numer serii,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datę wydania decyzji,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oznaczenie organu,</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rodzaj rozstrzygnięcia,</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przyczyny wydania decyzji;</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Diagnostów Laboratoryjnych (RDL)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Rejestr Diagnostów Laboratoryjnych zarejestrowanych na terenie RP prowadzony jest przez Krajową Radę Diagnostów Laboratoryjnych na podstawie art.8 ustawy z dnia 27 lipca 2001 r., o diagnostyce laboratoryjnej (tj. Dz.U. 2014 poz. 174).</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Krajowa Rada Diagnostów Laboratoryjnych udostępnia dane z ewidencji najpóźniej w terminie 14 dni od dnia złożenia wniosku za pośrednictwem Rejestru Diagnostów Laboratoryjnych, który umożliwia wyszukiwanie diagnostów laboratoryjnych na terenie RP.</w:t>
      </w:r>
      <w:r>
        <w:rPr>
          <w:rFonts w:ascii="Times New Roman" w:hAnsi="Times New Roman" w:cs="Times New Roman"/>
        </w:rPr>
        <w:t xml:space="preserve"> Rejestr umożliwia udostępnienie danych o</w:t>
      </w:r>
      <w:r w:rsidR="00A2348A">
        <w:rPr>
          <w:rFonts w:ascii="Times New Roman" w:hAnsi="Times New Roman" w:cs="Times New Roman"/>
        </w:rPr>
        <w:t> </w:t>
      </w:r>
      <w:r>
        <w:rPr>
          <w:rFonts w:ascii="Times New Roman" w:hAnsi="Times New Roman" w:cs="Times New Roman"/>
        </w:rPr>
        <w:t>farmaceutach posiadających aktualne prawo wykonywania zawodu.</w:t>
      </w:r>
    </w:p>
    <w:p w:rsidR="00D01BF7" w:rsidRPr="008B27C6" w:rsidRDefault="00D01BF7" w:rsidP="00C66264">
      <w:pPr>
        <w:spacing w:after="0" w:line="360" w:lineRule="auto"/>
        <w:jc w:val="both"/>
        <w:rPr>
          <w:rFonts w:ascii="Times New Roman" w:hAnsi="Times New Roman" w:cs="Times New Roman"/>
          <w:b/>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podmiotów wykonujących działalność leczniczą (RPWDL)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Rejestr podmiotów wykonujących działalność leczniczą (RPWDL) jest elektronicznym rejestrem prowadzonym zgodnie z ustawą z dnia 15 kwietnia 2011 o działalności leczniczej (Dz. U. Nr 112, poz. </w:t>
      </w:r>
      <w:r w:rsidRPr="008B27C6">
        <w:rPr>
          <w:rFonts w:ascii="Times New Roman" w:hAnsi="Times New Roman" w:cs="Times New Roman"/>
        </w:rPr>
        <w:lastRenderedPageBreak/>
        <w:t>654). W części publicznej Rejestru użytkownik może uzyskać informacje na temat podmiotów wykonujących działalność leczniczą</w:t>
      </w:r>
      <w:r>
        <w:rPr>
          <w:rFonts w:ascii="Times New Roman" w:hAnsi="Times New Roman" w:cs="Times New Roman"/>
        </w:rPr>
        <w:t>,</w:t>
      </w:r>
      <w:r w:rsidRPr="008B27C6">
        <w:rPr>
          <w:rFonts w:ascii="Times New Roman" w:hAnsi="Times New Roman" w:cs="Times New Roman"/>
        </w:rPr>
        <w:t xml:space="preserve"> w tym Podmiotów leczniczych, Praktyk zawodowych lekarzy i</w:t>
      </w:r>
      <w:r>
        <w:rPr>
          <w:rFonts w:ascii="Times New Roman" w:hAnsi="Times New Roman" w:cs="Times New Roman"/>
        </w:rPr>
        <w:t> l</w:t>
      </w:r>
      <w:r w:rsidRPr="008B27C6">
        <w:rPr>
          <w:rFonts w:ascii="Times New Roman" w:hAnsi="Times New Roman" w:cs="Times New Roman"/>
        </w:rPr>
        <w:t>ekarzy dentystów, Praktyk zawodowych pielęgniarek i położnych.</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części dostępnej po zalogowaniu, Rejestr umożliwia między innymi:</w:t>
      </w:r>
    </w:p>
    <w:p w:rsidR="00D01BF7" w:rsidRPr="008B27C6" w:rsidRDefault="00D01BF7" w:rsidP="00C66264">
      <w:pPr>
        <w:pStyle w:val="Akapitzlist"/>
        <w:numPr>
          <w:ilvl w:val="0"/>
          <w:numId w:val="38"/>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wniosków:</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wpis podmiotu do Rejestru,</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wpis zmian w Rejestrze,</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wykreślenie podmiotu z Rejestru,</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wysłanie drogą elektroniczną podpisanego wniosku w formie elektronicznej;</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pobranie zaświadczeń;</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przechowywanie i późniejszy dostęp do wniosków roboczych oraz wniosków podpisanych i</w:t>
      </w:r>
      <w:r>
        <w:rPr>
          <w:rFonts w:ascii="Times New Roman" w:hAnsi="Times New Roman"/>
        </w:rPr>
        <w:t> </w:t>
      </w:r>
      <w:r w:rsidRPr="008B27C6">
        <w:rPr>
          <w:rFonts w:ascii="Times New Roman" w:hAnsi="Times New Roman"/>
        </w:rPr>
        <w:t>wysłanych drogą elektroniczną.</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Centralny Rejestr Farmaceutów (CRF)</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Centralny Rejestr Farmaceutów Rzeczypospolitej Polskiej prowadzony jest przez Naczelną Radę Aptekarską na podstawie art. 39 ust. 1 ustawy z dnia 19 kwietnia 1991 roku o izbach aptekarskich. Centralny Rejestr Farmaceutów RP obejmuje dane uzyskiwane od okręgowych rad aptekarskich, o</w:t>
      </w:r>
      <w:r>
        <w:rPr>
          <w:rFonts w:ascii="Times New Roman" w:hAnsi="Times New Roman" w:cs="Times New Roman"/>
        </w:rPr>
        <w:t> </w:t>
      </w:r>
      <w:r w:rsidRPr="008B27C6">
        <w:rPr>
          <w:rFonts w:ascii="Times New Roman" w:hAnsi="Times New Roman" w:cs="Times New Roman"/>
        </w:rPr>
        <w:t>których mowa w art. 8 ust. 2 i art. 8a ust. 2 ustawy o izbach aptekarskich.</w:t>
      </w:r>
      <w:r>
        <w:rPr>
          <w:rFonts w:ascii="Times New Roman" w:hAnsi="Times New Roman" w:cs="Times New Roman"/>
        </w:rPr>
        <w:t xml:space="preserve"> Rejestr umożliwia udostępnienie danych o farmaceutach posiadających aktualne prawo wykonywania zawodu.</w:t>
      </w:r>
    </w:p>
    <w:p w:rsidR="00D01BF7" w:rsidRPr="008B27C6" w:rsidRDefault="00D01BF7" w:rsidP="00C66264">
      <w:pPr>
        <w:spacing w:after="0" w:line="360" w:lineRule="auto"/>
        <w:jc w:val="both"/>
        <w:rPr>
          <w:rFonts w:ascii="Times New Roman" w:hAnsi="Times New Roman" w:cs="Times New Roman"/>
        </w:rPr>
      </w:pPr>
    </w:p>
    <w:p w:rsidR="00D01BF7" w:rsidRDefault="00D01BF7" w:rsidP="00C66264">
      <w:pPr>
        <w:spacing w:after="0" w:line="360" w:lineRule="auto"/>
        <w:jc w:val="both"/>
        <w:rPr>
          <w:rFonts w:ascii="Times New Roman" w:hAnsi="Times New Roman" w:cs="Times New Roman"/>
          <w:b/>
        </w:rPr>
      </w:pPr>
      <w:r>
        <w:rPr>
          <w:rFonts w:ascii="Times New Roman" w:hAnsi="Times New Roman" w:cs="Times New Roman"/>
          <w:b/>
        </w:rPr>
        <w:t>Obecnie prowadzone są prace nad:</w:t>
      </w:r>
    </w:p>
    <w:p w:rsidR="00D01BF7" w:rsidRDefault="00D01BF7" w:rsidP="00C66264">
      <w:pPr>
        <w:pStyle w:val="Akapitzlist"/>
        <w:numPr>
          <w:ilvl w:val="0"/>
          <w:numId w:val="41"/>
        </w:numPr>
        <w:suppressAutoHyphens/>
        <w:autoSpaceDN w:val="0"/>
        <w:spacing w:after="0" w:line="360" w:lineRule="auto"/>
        <w:contextualSpacing w:val="0"/>
        <w:jc w:val="both"/>
        <w:textAlignment w:val="baseline"/>
        <w:rPr>
          <w:rFonts w:ascii="Times New Roman" w:hAnsi="Times New Roman"/>
        </w:rPr>
      </w:pPr>
      <w:r>
        <w:rPr>
          <w:rFonts w:ascii="Times New Roman" w:hAnsi="Times New Roman"/>
        </w:rPr>
        <w:t>Rejestrami wynikającymi z ustawy o Państwowym Ratownictwie Medycznym</w:t>
      </w:r>
    </w:p>
    <w:p w:rsidR="00A970DA" w:rsidRPr="00A970DA" w:rsidRDefault="00D01BF7" w:rsidP="00C66264">
      <w:pPr>
        <w:pStyle w:val="Akapitzlist"/>
        <w:numPr>
          <w:ilvl w:val="0"/>
          <w:numId w:val="41"/>
        </w:numPr>
        <w:suppressAutoHyphens/>
        <w:autoSpaceDN w:val="0"/>
        <w:spacing w:after="0" w:line="360" w:lineRule="auto"/>
        <w:contextualSpacing w:val="0"/>
        <w:jc w:val="both"/>
        <w:textAlignment w:val="baseline"/>
        <w:rPr>
          <w:rFonts w:ascii="Times New Roman" w:eastAsia="Calibri" w:hAnsi="Times New Roman" w:cs="Times New Roman"/>
        </w:rPr>
      </w:pPr>
      <w:r>
        <w:rPr>
          <w:rFonts w:ascii="Times New Roman" w:hAnsi="Times New Roman"/>
        </w:rPr>
        <w:t>Rejestrem Ośrodków M</w:t>
      </w:r>
      <w:r w:rsidRPr="005E780B">
        <w:rPr>
          <w:rFonts w:ascii="Times New Roman" w:hAnsi="Times New Roman"/>
        </w:rPr>
        <w:t xml:space="preserve">edycznie </w:t>
      </w:r>
      <w:r>
        <w:rPr>
          <w:rFonts w:ascii="Times New Roman" w:hAnsi="Times New Roman"/>
        </w:rPr>
        <w:t>Wspomaganej P</w:t>
      </w:r>
      <w:r w:rsidRPr="005E780B">
        <w:rPr>
          <w:rFonts w:ascii="Times New Roman" w:hAnsi="Times New Roman"/>
        </w:rPr>
        <w:t xml:space="preserve">rokreacji oraz </w:t>
      </w:r>
      <w:r>
        <w:rPr>
          <w:rFonts w:ascii="Times New Roman" w:hAnsi="Times New Roman"/>
        </w:rPr>
        <w:t>B</w:t>
      </w:r>
      <w:r w:rsidRPr="005E780B">
        <w:rPr>
          <w:rFonts w:ascii="Times New Roman" w:hAnsi="Times New Roman"/>
        </w:rPr>
        <w:t xml:space="preserve">anku </w:t>
      </w:r>
      <w:r>
        <w:rPr>
          <w:rFonts w:ascii="Times New Roman" w:hAnsi="Times New Roman"/>
        </w:rPr>
        <w:t>K</w:t>
      </w:r>
      <w:r w:rsidRPr="005E780B">
        <w:rPr>
          <w:rFonts w:ascii="Times New Roman" w:hAnsi="Times New Roman"/>
        </w:rPr>
        <w:t xml:space="preserve">omórek </w:t>
      </w:r>
      <w:r>
        <w:rPr>
          <w:rFonts w:ascii="Times New Roman" w:hAnsi="Times New Roman"/>
        </w:rPr>
        <w:t>R</w:t>
      </w:r>
      <w:r w:rsidRPr="005E780B">
        <w:rPr>
          <w:rFonts w:ascii="Times New Roman" w:hAnsi="Times New Roman"/>
        </w:rPr>
        <w:t xml:space="preserve">ozrodczych i </w:t>
      </w:r>
      <w:r>
        <w:rPr>
          <w:rFonts w:ascii="Times New Roman" w:hAnsi="Times New Roman"/>
        </w:rPr>
        <w:t>Z</w:t>
      </w:r>
      <w:r w:rsidRPr="005E780B">
        <w:rPr>
          <w:rFonts w:ascii="Times New Roman" w:hAnsi="Times New Roman"/>
        </w:rPr>
        <w:t>arodków</w:t>
      </w:r>
    </w:p>
    <w:p w:rsidR="00A970DA" w:rsidRDefault="00A970DA" w:rsidP="00C66264">
      <w:pPr>
        <w:pStyle w:val="Akapitzlist"/>
        <w:suppressAutoHyphens/>
        <w:autoSpaceDN w:val="0"/>
        <w:spacing w:after="0" w:line="360" w:lineRule="auto"/>
        <w:contextualSpacing w:val="0"/>
        <w:jc w:val="both"/>
        <w:textAlignment w:val="baseline"/>
        <w:rPr>
          <w:rFonts w:ascii="Times New Roman" w:hAnsi="Times New Roman"/>
        </w:rPr>
      </w:pPr>
    </w:p>
    <w:p w:rsidR="00A970DA" w:rsidRPr="00A970DA" w:rsidRDefault="00A970DA" w:rsidP="00C66264">
      <w:pPr>
        <w:pStyle w:val="Akapitzlist"/>
        <w:suppressAutoHyphens/>
        <w:autoSpaceDN w:val="0"/>
        <w:spacing w:after="0" w:line="360" w:lineRule="auto"/>
        <w:contextualSpacing w:val="0"/>
        <w:jc w:val="both"/>
        <w:textAlignment w:val="baseline"/>
        <w:rPr>
          <w:rFonts w:ascii="Times New Roman" w:eastAsia="Calibri" w:hAnsi="Times New Roman" w:cs="Times New Roman"/>
        </w:rPr>
      </w:pPr>
    </w:p>
    <w:p w:rsidR="00C92DAB" w:rsidRPr="002A55DC" w:rsidRDefault="00C92DAB" w:rsidP="00C66264">
      <w:pPr>
        <w:spacing w:line="360" w:lineRule="auto"/>
        <w:jc w:val="both"/>
        <w:rPr>
          <w:rFonts w:ascii="Times New Roman" w:hAnsi="Times New Roman" w:cs="Times New Roman"/>
          <w:sz w:val="24"/>
          <w:szCs w:val="24"/>
        </w:rPr>
      </w:pPr>
      <w:r w:rsidRPr="002A55DC">
        <w:rPr>
          <w:rFonts w:ascii="Times New Roman" w:hAnsi="Times New Roman" w:cs="Times New Roman"/>
          <w:b/>
          <w:bCs/>
          <w:sz w:val="24"/>
          <w:szCs w:val="24"/>
        </w:rPr>
        <w:t>Projekt P4 „Dziedzinowe systemy teleinformatyczne systemu informacji w ochronie zdrowia”</w:t>
      </w:r>
      <w:r w:rsidRPr="002A55DC">
        <w:rPr>
          <w:rFonts w:ascii="Times New Roman" w:hAnsi="Times New Roman" w:cs="Times New Roman"/>
          <w:sz w:val="24"/>
          <w:szCs w:val="24"/>
        </w:rPr>
        <w:t xml:space="preserve"> </w:t>
      </w:r>
      <w:r w:rsidR="003535B2" w:rsidRPr="002A55DC">
        <w:rPr>
          <w:rFonts w:ascii="Times New Roman" w:hAnsi="Times New Roman" w:cs="Times New Roman"/>
          <w:b/>
          <w:bCs/>
          <w:sz w:val="24"/>
          <w:szCs w:val="24"/>
        </w:rPr>
        <w:t>to</w:t>
      </w:r>
      <w:r w:rsidRPr="002A55DC">
        <w:rPr>
          <w:rFonts w:ascii="Times New Roman" w:hAnsi="Times New Roman" w:cs="Times New Roman"/>
          <w:b/>
          <w:bCs/>
          <w:sz w:val="24"/>
          <w:szCs w:val="24"/>
        </w:rPr>
        <w:t xml:space="preserve"> pięć nowych systemów dziedzinowych: </w:t>
      </w:r>
    </w:p>
    <w:p w:rsidR="00C92DAB" w:rsidRPr="00E71DAF" w:rsidRDefault="00C92DAB" w:rsidP="00C66264">
      <w:pPr>
        <w:numPr>
          <w:ilvl w:val="0"/>
          <w:numId w:val="6"/>
        </w:numPr>
        <w:spacing w:after="0" w:line="360" w:lineRule="auto"/>
        <w:contextualSpacing/>
        <w:jc w:val="both"/>
        <w:rPr>
          <w:rFonts w:ascii="Times New Roman" w:hAnsi="Times New Roman" w:cs="Times New Roman"/>
          <w:bCs/>
        </w:rPr>
      </w:pPr>
      <w:r w:rsidRPr="00E71DAF">
        <w:rPr>
          <w:rFonts w:ascii="Times New Roman" w:hAnsi="Times New Roman" w:cs="Times New Roman"/>
          <w:bCs/>
        </w:rPr>
        <w:t>System Monitorowania Kształcenia Pracowników Medycznych (SMK),</w:t>
      </w:r>
    </w:p>
    <w:p w:rsidR="00C92DAB" w:rsidRPr="00E71DAF" w:rsidRDefault="00C92DAB" w:rsidP="00C66264">
      <w:pPr>
        <w:numPr>
          <w:ilvl w:val="0"/>
          <w:numId w:val="6"/>
        </w:numPr>
        <w:spacing w:after="0" w:line="360" w:lineRule="auto"/>
        <w:contextualSpacing/>
        <w:jc w:val="both"/>
        <w:rPr>
          <w:rFonts w:ascii="Times New Roman" w:hAnsi="Times New Roman" w:cs="Times New Roman"/>
          <w:bCs/>
        </w:rPr>
      </w:pPr>
      <w:r w:rsidRPr="00E71DAF">
        <w:rPr>
          <w:rFonts w:ascii="Times New Roman" w:hAnsi="Times New Roman" w:cs="Times New Roman"/>
          <w:bCs/>
        </w:rPr>
        <w:t>System Monitorowania Zagrożeń (SMZ),</w:t>
      </w:r>
    </w:p>
    <w:p w:rsidR="00C92DAB" w:rsidRPr="00E71DAF" w:rsidRDefault="00C92DAB" w:rsidP="00C66264">
      <w:pPr>
        <w:numPr>
          <w:ilvl w:val="0"/>
          <w:numId w:val="6"/>
        </w:numPr>
        <w:spacing w:after="0" w:line="360" w:lineRule="auto"/>
        <w:contextualSpacing/>
        <w:jc w:val="both"/>
        <w:rPr>
          <w:rFonts w:ascii="Times New Roman" w:hAnsi="Times New Roman" w:cs="Times New Roman"/>
          <w:bCs/>
        </w:rPr>
      </w:pPr>
      <w:r w:rsidRPr="00E71DAF">
        <w:rPr>
          <w:rFonts w:ascii="Times New Roman" w:hAnsi="Times New Roman" w:cs="Times New Roman"/>
          <w:bCs/>
        </w:rPr>
        <w:t>Zintegrowany System Monitorowania Obrotu Produktami Leczniczymi (ZSMOPL),</w:t>
      </w:r>
    </w:p>
    <w:p w:rsidR="00C92DAB" w:rsidRPr="00E71DAF" w:rsidRDefault="00C92DAB" w:rsidP="00C66264">
      <w:pPr>
        <w:numPr>
          <w:ilvl w:val="0"/>
          <w:numId w:val="6"/>
        </w:numPr>
        <w:spacing w:after="0" w:line="360" w:lineRule="auto"/>
        <w:contextualSpacing/>
        <w:jc w:val="both"/>
        <w:rPr>
          <w:rFonts w:ascii="Times New Roman" w:hAnsi="Times New Roman" w:cs="Times New Roman"/>
          <w:bCs/>
        </w:rPr>
      </w:pPr>
      <w:r w:rsidRPr="00E71DAF">
        <w:rPr>
          <w:rFonts w:ascii="Times New Roman" w:hAnsi="Times New Roman" w:cs="Times New Roman"/>
          <w:bCs/>
        </w:rPr>
        <w:t>System Ewidencji Zasobów Ochrony Zdrowia (SEZOZ),</w:t>
      </w:r>
    </w:p>
    <w:p w:rsidR="00C92DAB" w:rsidRPr="00E71DAF" w:rsidRDefault="00C92DAB" w:rsidP="00C66264">
      <w:pPr>
        <w:numPr>
          <w:ilvl w:val="0"/>
          <w:numId w:val="6"/>
        </w:numPr>
        <w:spacing w:after="0" w:line="360" w:lineRule="auto"/>
        <w:contextualSpacing/>
        <w:jc w:val="both"/>
        <w:rPr>
          <w:rFonts w:ascii="Times New Roman" w:hAnsi="Times New Roman" w:cs="Times New Roman"/>
          <w:bCs/>
        </w:rPr>
      </w:pPr>
      <w:r w:rsidRPr="00E71DAF">
        <w:rPr>
          <w:rFonts w:ascii="Times New Roman" w:hAnsi="Times New Roman" w:cs="Times New Roman"/>
          <w:bCs/>
        </w:rPr>
        <w:lastRenderedPageBreak/>
        <w:t>System Statystyki w Ochronie Zdrowia (SSOZ).</w:t>
      </w:r>
    </w:p>
    <w:p w:rsidR="00B064BC" w:rsidRDefault="00B064BC" w:rsidP="00C66264">
      <w:pPr>
        <w:spacing w:after="0" w:line="360" w:lineRule="auto"/>
        <w:contextualSpacing/>
        <w:jc w:val="both"/>
        <w:rPr>
          <w:rFonts w:ascii="Times New Roman" w:hAnsi="Times New Roman" w:cs="Times New Roman"/>
          <w:b/>
          <w:bCs/>
        </w:rPr>
      </w:pPr>
    </w:p>
    <w:p w:rsidR="00B064BC" w:rsidRPr="00B064BC" w:rsidRDefault="00B064BC" w:rsidP="00C66264">
      <w:pPr>
        <w:spacing w:after="0" w:line="360" w:lineRule="auto"/>
        <w:jc w:val="both"/>
        <w:rPr>
          <w:rFonts w:ascii="Times New Roman" w:hAnsi="Times New Roman" w:cs="Times New Roman"/>
          <w:color w:val="000000"/>
        </w:rPr>
      </w:pPr>
      <w:r w:rsidRPr="00B064BC">
        <w:rPr>
          <w:rFonts w:ascii="Times New Roman" w:hAnsi="Times New Roman" w:cs="Times New Roman"/>
          <w:color w:val="000000"/>
        </w:rPr>
        <w:t>Poniżej przedstawiono funkcjonalności poszczególnych systemów dziedzinowych.</w:t>
      </w:r>
    </w:p>
    <w:p w:rsidR="00B064BC" w:rsidRPr="00E71DAF" w:rsidRDefault="00B064BC" w:rsidP="00C66264">
      <w:pPr>
        <w:spacing w:after="0" w:line="360" w:lineRule="auto"/>
        <w:contextualSpacing/>
        <w:jc w:val="both"/>
        <w:rPr>
          <w:rFonts w:ascii="Times New Roman" w:hAnsi="Times New Roman" w:cs="Times New Roman"/>
          <w:b/>
          <w:bCs/>
        </w:rPr>
      </w:pPr>
    </w:p>
    <w:p w:rsidR="00C92DAB" w:rsidRPr="00E71DAF" w:rsidRDefault="00C92DAB" w:rsidP="00C66264">
      <w:pPr>
        <w:spacing w:after="0" w:line="360" w:lineRule="auto"/>
        <w:contextualSpacing/>
        <w:jc w:val="both"/>
        <w:rPr>
          <w:rFonts w:ascii="Times New Roman" w:hAnsi="Times New Roman" w:cs="Times New Roman"/>
          <w:b/>
          <w:bCs/>
          <w:u w:val="single"/>
        </w:rPr>
      </w:pPr>
      <w:r w:rsidRPr="00E71DAF">
        <w:rPr>
          <w:rFonts w:ascii="Times New Roman" w:hAnsi="Times New Roman" w:cs="Times New Roman"/>
          <w:b/>
          <w:bCs/>
          <w:u w:val="single"/>
        </w:rPr>
        <w:t>Funkcjonalności Systemu Monitorowania Kształcenia Pracowników Medycznych (SMK)</w:t>
      </w:r>
    </w:p>
    <w:p w:rsidR="00C92DAB" w:rsidRPr="00E71DAF" w:rsidRDefault="00C92DAB" w:rsidP="00C66264">
      <w:pPr>
        <w:pStyle w:val="TableMedium"/>
        <w:spacing w:line="360" w:lineRule="auto"/>
        <w:jc w:val="both"/>
        <w:rPr>
          <w:rFonts w:ascii="Times New Roman" w:hAnsi="Times New Roman"/>
          <w:b/>
          <w:sz w:val="22"/>
          <w:szCs w:val="22"/>
          <w:u w:val="single"/>
        </w:rPr>
      </w:pPr>
      <w:r w:rsidRPr="00E71DAF">
        <w:rPr>
          <w:rFonts w:ascii="Times New Roman" w:hAnsi="Times New Roman"/>
          <w:b/>
          <w:sz w:val="22"/>
          <w:szCs w:val="22"/>
        </w:rPr>
        <w:t>Główne funkcjonalności SMK</w:t>
      </w:r>
    </w:p>
    <w:p w:rsidR="00C92DAB" w:rsidRPr="00E71DAF" w:rsidRDefault="00C92DAB" w:rsidP="00C66264">
      <w:pPr>
        <w:pStyle w:val="TableMedium"/>
        <w:spacing w:line="360" w:lineRule="auto"/>
        <w:jc w:val="both"/>
        <w:rPr>
          <w:rFonts w:ascii="Times New Roman" w:hAnsi="Times New Roman"/>
          <w:sz w:val="22"/>
          <w:szCs w:val="22"/>
        </w:rPr>
      </w:pPr>
      <w:r w:rsidRPr="00E71DAF">
        <w:rPr>
          <w:rFonts w:ascii="Times New Roman" w:hAnsi="Times New Roman"/>
          <w:sz w:val="22"/>
          <w:szCs w:val="22"/>
        </w:rPr>
        <w:t>SMK ma za zadanie uproszczenie procedur realizowanych w procesie kształcenia specjalizacyjnego i</w:t>
      </w:r>
      <w:r w:rsidR="00CD22E8">
        <w:rPr>
          <w:rFonts w:ascii="Times New Roman" w:hAnsi="Times New Roman"/>
          <w:sz w:val="22"/>
          <w:szCs w:val="22"/>
        </w:rPr>
        <w:t> </w:t>
      </w:r>
      <w:r w:rsidRPr="00E71DAF">
        <w:rPr>
          <w:rFonts w:ascii="Times New Roman" w:hAnsi="Times New Roman"/>
          <w:sz w:val="22"/>
          <w:szCs w:val="22"/>
        </w:rPr>
        <w:t>obsługę obiegu dokumentacji dotyczącej kształcenia pracowników medycznych.</w:t>
      </w:r>
    </w:p>
    <w:p w:rsidR="00C92DAB" w:rsidRPr="00E71DAF" w:rsidRDefault="00C92DAB" w:rsidP="00C66264">
      <w:pPr>
        <w:pStyle w:val="TableMedium"/>
        <w:spacing w:line="360" w:lineRule="auto"/>
        <w:jc w:val="both"/>
        <w:rPr>
          <w:rFonts w:ascii="Times New Roman" w:hAnsi="Times New Roman"/>
          <w:b/>
          <w:sz w:val="22"/>
          <w:szCs w:val="22"/>
        </w:rPr>
      </w:pPr>
      <w:r w:rsidRPr="00E71DAF">
        <w:rPr>
          <w:rFonts w:ascii="Times New Roman" w:hAnsi="Times New Roman"/>
          <w:b/>
          <w:sz w:val="22"/>
          <w:szCs w:val="22"/>
        </w:rPr>
        <w:t>Podstawowe funkcjonalności SMK:</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umożliwienie gromadzenia informacji na temat procesu kształcenia podyplomowego,</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 xml:space="preserve">dostarczenie informacji do planowania kształcenia podyplomowego dla interesariuszy projektu, </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 xml:space="preserve">umożliwienie bieżącego monitorowania przebiegu szkolenia, </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 xml:space="preserve">wsparcie procesów składania i oceny wniosków na specjalizację, </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 xml:space="preserve">wsparcie procesów przeprowadzenia egzaminów, </w:t>
      </w:r>
    </w:p>
    <w:p w:rsidR="00C92DAB" w:rsidRPr="00E71DAF" w:rsidRDefault="00C92DAB" w:rsidP="00C66264">
      <w:pPr>
        <w:pStyle w:val="TableMedium"/>
        <w:spacing w:line="360" w:lineRule="auto"/>
        <w:ind w:left="709" w:hanging="284"/>
        <w:jc w:val="both"/>
        <w:rPr>
          <w:rFonts w:ascii="Times New Roman" w:hAnsi="Times New Roman"/>
          <w:sz w:val="22"/>
          <w:szCs w:val="22"/>
        </w:rPr>
      </w:pPr>
      <w:r w:rsidRPr="00E71DAF">
        <w:rPr>
          <w:rFonts w:ascii="Times New Roman" w:hAnsi="Times New Roman"/>
          <w:sz w:val="22"/>
          <w:szCs w:val="22"/>
        </w:rPr>
        <w:t>•</w:t>
      </w:r>
      <w:r w:rsidRPr="00E71DAF">
        <w:rPr>
          <w:rFonts w:ascii="Times New Roman" w:hAnsi="Times New Roman"/>
          <w:sz w:val="22"/>
          <w:szCs w:val="22"/>
        </w:rPr>
        <w:tab/>
        <w:t xml:space="preserve">utworzenie rejestru informatycznego integrującego dane na temat wykształcenia personelu medycznego. </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 xml:space="preserve">Dla poszczególnych użytkowników SMK zostały zapewnione istotne funkcjonalności, do najważniejszych z nich należą: </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Pracownicy medyczni:</w:t>
      </w:r>
    </w:p>
    <w:p w:rsidR="00C92DAB" w:rsidRPr="00E71DAF" w:rsidRDefault="00C92DAB" w:rsidP="00C66264">
      <w:pPr>
        <w:pStyle w:val="Akapitzlist"/>
        <w:numPr>
          <w:ilvl w:val="0"/>
          <w:numId w:val="1"/>
        </w:numPr>
        <w:spacing w:after="0" w:line="360" w:lineRule="auto"/>
        <w:jc w:val="both"/>
        <w:rPr>
          <w:rFonts w:ascii="Times New Roman" w:hAnsi="Times New Roman" w:cs="Times New Roman"/>
        </w:rPr>
      </w:pPr>
      <w:r w:rsidRPr="00E71DAF">
        <w:rPr>
          <w:rFonts w:ascii="Times New Roman" w:hAnsi="Times New Roman" w:cs="Times New Roman"/>
        </w:rPr>
        <w:t>wnioskowanie o rozpoczęcie szkolenia specjalizacyjnego,</w:t>
      </w:r>
    </w:p>
    <w:p w:rsidR="00C92DAB" w:rsidRPr="00E71DAF" w:rsidRDefault="00C92DAB" w:rsidP="00C66264">
      <w:pPr>
        <w:pStyle w:val="Akapitzlist"/>
        <w:numPr>
          <w:ilvl w:val="0"/>
          <w:numId w:val="1"/>
        </w:numPr>
        <w:spacing w:after="0" w:line="360" w:lineRule="auto"/>
        <w:jc w:val="both"/>
        <w:rPr>
          <w:rFonts w:ascii="Times New Roman" w:hAnsi="Times New Roman" w:cs="Times New Roman"/>
        </w:rPr>
      </w:pPr>
      <w:r w:rsidRPr="00E71DAF">
        <w:rPr>
          <w:rFonts w:ascii="Times New Roman" w:hAnsi="Times New Roman" w:cs="Times New Roman"/>
        </w:rPr>
        <w:t>prowadzenie Elektronicznej Karty Specjalizacji,</w:t>
      </w:r>
    </w:p>
    <w:p w:rsidR="00C92DAB" w:rsidRPr="00E71DAF" w:rsidRDefault="00C92DAB" w:rsidP="00C66264">
      <w:pPr>
        <w:pStyle w:val="Akapitzlist"/>
        <w:numPr>
          <w:ilvl w:val="0"/>
          <w:numId w:val="1"/>
        </w:numPr>
        <w:spacing w:after="0" w:line="360" w:lineRule="auto"/>
        <w:jc w:val="both"/>
        <w:rPr>
          <w:rFonts w:ascii="Times New Roman" w:hAnsi="Times New Roman" w:cs="Times New Roman"/>
        </w:rPr>
      </w:pPr>
      <w:r w:rsidRPr="00E71DAF">
        <w:rPr>
          <w:rFonts w:ascii="Times New Roman" w:hAnsi="Times New Roman" w:cs="Times New Roman"/>
        </w:rPr>
        <w:t>wnioskowanie o przystąpienie do egzaminu LEK/LDEK, PERM i państwowych egzaminów specjalizacyjnych.</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Jednostki szkolące:</w:t>
      </w:r>
    </w:p>
    <w:p w:rsidR="00C92DAB" w:rsidRPr="00E71DAF" w:rsidRDefault="00C92DAB" w:rsidP="00C66264">
      <w:pPr>
        <w:pStyle w:val="Akapitzlist"/>
        <w:numPr>
          <w:ilvl w:val="0"/>
          <w:numId w:val="2"/>
        </w:numPr>
        <w:spacing w:after="0" w:line="360" w:lineRule="auto"/>
        <w:jc w:val="both"/>
        <w:rPr>
          <w:rFonts w:ascii="Times New Roman" w:hAnsi="Times New Roman" w:cs="Times New Roman"/>
        </w:rPr>
      </w:pPr>
      <w:r w:rsidRPr="00E71DAF">
        <w:rPr>
          <w:rFonts w:ascii="Times New Roman" w:hAnsi="Times New Roman" w:cs="Times New Roman"/>
        </w:rPr>
        <w:t>wnioskowanie o udzielenie akredytacji na prowadzenie szkolenia specjalizacyjnego w danej dziedzinie,</w:t>
      </w:r>
    </w:p>
    <w:p w:rsidR="00C92DAB" w:rsidRPr="00E71DAF" w:rsidRDefault="00C92DAB" w:rsidP="00C66264">
      <w:pPr>
        <w:pStyle w:val="Akapitzlist"/>
        <w:numPr>
          <w:ilvl w:val="0"/>
          <w:numId w:val="2"/>
        </w:numPr>
        <w:spacing w:after="0" w:line="360" w:lineRule="auto"/>
        <w:jc w:val="both"/>
        <w:rPr>
          <w:rFonts w:ascii="Times New Roman" w:hAnsi="Times New Roman" w:cs="Times New Roman"/>
        </w:rPr>
      </w:pPr>
      <w:r w:rsidRPr="00E71DAF">
        <w:rPr>
          <w:rFonts w:ascii="Times New Roman" w:hAnsi="Times New Roman" w:cs="Times New Roman"/>
        </w:rPr>
        <w:t>tworzenia planów kształcenia.</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Urzędy wojewódzkie, MON, MSW</w:t>
      </w:r>
      <w:r w:rsidRPr="00E71DAF">
        <w:rPr>
          <w:rFonts w:ascii="Times New Roman" w:hAnsi="Times New Roman" w:cs="Times New Roman"/>
          <w:u w:val="single"/>
        </w:rPr>
        <w:t>:</w:t>
      </w:r>
      <w:r w:rsidRPr="00E71DAF">
        <w:rPr>
          <w:rFonts w:ascii="Times New Roman" w:hAnsi="Times New Roman" w:cs="Times New Roman"/>
        </w:rPr>
        <w:t xml:space="preserve"> </w:t>
      </w:r>
    </w:p>
    <w:p w:rsidR="00C92DAB" w:rsidRPr="00E71DAF" w:rsidRDefault="00C92DAB" w:rsidP="00C66264">
      <w:pPr>
        <w:pStyle w:val="Akapitzlist"/>
        <w:numPr>
          <w:ilvl w:val="0"/>
          <w:numId w:val="3"/>
        </w:numPr>
        <w:spacing w:after="0" w:line="360" w:lineRule="auto"/>
        <w:jc w:val="both"/>
        <w:rPr>
          <w:rFonts w:ascii="Times New Roman" w:hAnsi="Times New Roman" w:cs="Times New Roman"/>
        </w:rPr>
      </w:pPr>
      <w:r w:rsidRPr="00E71DAF">
        <w:rPr>
          <w:rFonts w:ascii="Times New Roman" w:hAnsi="Times New Roman" w:cs="Times New Roman"/>
        </w:rPr>
        <w:t>rozpatrywanie wniosków o rozpoczęcie szkolenia specjalizacyjnego,</w:t>
      </w:r>
    </w:p>
    <w:p w:rsidR="00C92DAB" w:rsidRPr="00E71DAF" w:rsidRDefault="00C92DAB" w:rsidP="00C66264">
      <w:pPr>
        <w:pStyle w:val="Akapitzlist"/>
        <w:numPr>
          <w:ilvl w:val="0"/>
          <w:numId w:val="3"/>
        </w:numPr>
        <w:spacing w:after="0" w:line="360" w:lineRule="auto"/>
        <w:jc w:val="both"/>
        <w:rPr>
          <w:rFonts w:ascii="Times New Roman" w:hAnsi="Times New Roman" w:cs="Times New Roman"/>
        </w:rPr>
      </w:pPr>
      <w:r w:rsidRPr="00E71DAF">
        <w:rPr>
          <w:rFonts w:ascii="Times New Roman" w:hAnsi="Times New Roman" w:cs="Times New Roman"/>
        </w:rPr>
        <w:t>przydział miejsc szkoleniowych,</w:t>
      </w:r>
    </w:p>
    <w:p w:rsidR="00C92DAB" w:rsidRPr="00E71DAF" w:rsidRDefault="00C92DAB" w:rsidP="00C66264">
      <w:pPr>
        <w:pStyle w:val="Akapitzlist"/>
        <w:numPr>
          <w:ilvl w:val="0"/>
          <w:numId w:val="3"/>
        </w:numPr>
        <w:spacing w:after="0" w:line="360" w:lineRule="auto"/>
        <w:jc w:val="both"/>
        <w:rPr>
          <w:rFonts w:ascii="Times New Roman" w:hAnsi="Times New Roman" w:cs="Times New Roman"/>
        </w:rPr>
      </w:pPr>
      <w:r w:rsidRPr="00E71DAF">
        <w:rPr>
          <w:rFonts w:ascii="Times New Roman" w:hAnsi="Times New Roman" w:cs="Times New Roman"/>
        </w:rPr>
        <w:t>weryfikacja dokumentacji odbytego szkolenia specjalizacyjnego,</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lastRenderedPageBreak/>
        <w:t>CMKP, Samorządy:</w:t>
      </w:r>
    </w:p>
    <w:p w:rsidR="00C92DAB" w:rsidRPr="00E71DAF" w:rsidRDefault="00C92DAB" w:rsidP="00C66264">
      <w:pPr>
        <w:pStyle w:val="Akapitzlist"/>
        <w:numPr>
          <w:ilvl w:val="0"/>
          <w:numId w:val="4"/>
        </w:numPr>
        <w:spacing w:after="0" w:line="360" w:lineRule="auto"/>
        <w:jc w:val="both"/>
        <w:rPr>
          <w:rFonts w:ascii="Times New Roman" w:hAnsi="Times New Roman" w:cs="Times New Roman"/>
        </w:rPr>
      </w:pPr>
      <w:r w:rsidRPr="00E71DAF">
        <w:rPr>
          <w:rFonts w:ascii="Times New Roman" w:hAnsi="Times New Roman" w:cs="Times New Roman"/>
        </w:rPr>
        <w:t>obsługa procesu akredytacji jednostek szkolących ,</w:t>
      </w:r>
    </w:p>
    <w:p w:rsidR="00C92DAB" w:rsidRPr="00E71DAF" w:rsidRDefault="00C92DAB" w:rsidP="00C66264">
      <w:pPr>
        <w:pStyle w:val="Akapitzlist"/>
        <w:numPr>
          <w:ilvl w:val="0"/>
          <w:numId w:val="4"/>
        </w:numPr>
        <w:spacing w:after="0" w:line="360" w:lineRule="auto"/>
        <w:jc w:val="both"/>
        <w:rPr>
          <w:rFonts w:ascii="Times New Roman" w:hAnsi="Times New Roman" w:cs="Times New Roman"/>
        </w:rPr>
      </w:pPr>
      <w:r w:rsidRPr="00E71DAF">
        <w:rPr>
          <w:rFonts w:ascii="Times New Roman" w:hAnsi="Times New Roman" w:cs="Times New Roman"/>
        </w:rPr>
        <w:t>obsługa szkoleń i kursów w ramach specjalizacji.</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 xml:space="preserve">CEM, </w:t>
      </w:r>
      <w:proofErr w:type="spellStart"/>
      <w:r w:rsidRPr="00E71DAF">
        <w:rPr>
          <w:rFonts w:ascii="Times New Roman" w:hAnsi="Times New Roman" w:cs="Times New Roman"/>
        </w:rPr>
        <w:t>CKPPiP</w:t>
      </w:r>
      <w:proofErr w:type="spellEnd"/>
      <w:r w:rsidRPr="00E71DAF">
        <w:rPr>
          <w:rFonts w:ascii="Times New Roman" w:hAnsi="Times New Roman" w:cs="Times New Roman"/>
        </w:rPr>
        <w:t>:</w:t>
      </w:r>
    </w:p>
    <w:p w:rsidR="00C92DAB" w:rsidRPr="00E71DAF" w:rsidRDefault="00C92DAB" w:rsidP="00C66264">
      <w:pPr>
        <w:pStyle w:val="Akapitzlist"/>
        <w:numPr>
          <w:ilvl w:val="0"/>
          <w:numId w:val="5"/>
        </w:numPr>
        <w:spacing w:after="0" w:line="360" w:lineRule="auto"/>
        <w:jc w:val="both"/>
        <w:rPr>
          <w:rFonts w:ascii="Times New Roman" w:hAnsi="Times New Roman" w:cs="Times New Roman"/>
        </w:rPr>
      </w:pPr>
      <w:r w:rsidRPr="00E71DAF">
        <w:rPr>
          <w:rFonts w:ascii="Times New Roman" w:hAnsi="Times New Roman" w:cs="Times New Roman"/>
        </w:rPr>
        <w:t>Obsługa procesu egzaminacyjnego.</w:t>
      </w:r>
    </w:p>
    <w:p w:rsidR="00C92DAB" w:rsidRPr="00E71DAF" w:rsidRDefault="00C92DAB" w:rsidP="00C66264">
      <w:pPr>
        <w:spacing w:after="0" w:line="360" w:lineRule="auto"/>
        <w:contextualSpacing/>
        <w:jc w:val="both"/>
        <w:rPr>
          <w:rFonts w:ascii="Times New Roman" w:hAnsi="Times New Roman" w:cs="Times New Roman"/>
        </w:rPr>
      </w:pPr>
      <w:r w:rsidRPr="00E71DAF">
        <w:rPr>
          <w:rFonts w:ascii="Times New Roman" w:hAnsi="Times New Roman" w:cs="Times New Roman"/>
        </w:rPr>
        <w:t>Kierownik specjalizacji:</w:t>
      </w:r>
    </w:p>
    <w:p w:rsidR="00C92DAB" w:rsidRPr="00E71DAF" w:rsidRDefault="00C92DAB" w:rsidP="00C66264">
      <w:pPr>
        <w:pStyle w:val="Akapitzlist"/>
        <w:numPr>
          <w:ilvl w:val="0"/>
          <w:numId w:val="5"/>
        </w:numPr>
        <w:spacing w:after="0" w:line="360" w:lineRule="auto"/>
        <w:jc w:val="both"/>
        <w:rPr>
          <w:rFonts w:ascii="Times New Roman" w:hAnsi="Times New Roman" w:cs="Times New Roman"/>
        </w:rPr>
      </w:pPr>
      <w:r w:rsidRPr="00E71DAF">
        <w:rPr>
          <w:rFonts w:ascii="Times New Roman" w:hAnsi="Times New Roman" w:cs="Times New Roman"/>
        </w:rPr>
        <w:t>tworzenie rocznego planu szkoleniowego ,</w:t>
      </w:r>
    </w:p>
    <w:p w:rsidR="00C92DAB" w:rsidRPr="00E71DAF" w:rsidRDefault="00C92DAB" w:rsidP="00C66264">
      <w:pPr>
        <w:pStyle w:val="Akapitzlist"/>
        <w:numPr>
          <w:ilvl w:val="0"/>
          <w:numId w:val="5"/>
        </w:numPr>
        <w:spacing w:after="0" w:line="360" w:lineRule="auto"/>
        <w:jc w:val="both"/>
        <w:rPr>
          <w:rFonts w:ascii="Times New Roman" w:hAnsi="Times New Roman" w:cs="Times New Roman"/>
        </w:rPr>
      </w:pPr>
      <w:r w:rsidRPr="00E71DAF">
        <w:rPr>
          <w:rFonts w:ascii="Times New Roman" w:hAnsi="Times New Roman" w:cs="Times New Roman"/>
        </w:rPr>
        <w:t>potwierdzanie w Elektronicznej Karcie Specjalizacji odbytych procedur, kursów i staży kierunkowych, w ramach nadzoru nad przebiegiem szkolenia specjalizacyjnego.</w:t>
      </w:r>
    </w:p>
    <w:p w:rsidR="00C92DAB" w:rsidRPr="00E71DAF" w:rsidRDefault="00C92DAB" w:rsidP="00C66264">
      <w:pPr>
        <w:spacing w:line="360" w:lineRule="auto"/>
        <w:contextualSpacing/>
        <w:jc w:val="both"/>
        <w:rPr>
          <w:rFonts w:ascii="Times New Roman" w:hAnsi="Times New Roman" w:cs="Times New Roman"/>
          <w:b/>
          <w:bCs/>
        </w:rPr>
      </w:pPr>
    </w:p>
    <w:p w:rsidR="00C92DAB" w:rsidRPr="00E71DAF" w:rsidRDefault="00C92DAB" w:rsidP="00C66264">
      <w:pPr>
        <w:spacing w:line="360" w:lineRule="auto"/>
        <w:contextualSpacing/>
        <w:jc w:val="both"/>
        <w:rPr>
          <w:rFonts w:ascii="Times New Roman" w:hAnsi="Times New Roman" w:cs="Times New Roman"/>
          <w:b/>
          <w:bCs/>
          <w:u w:val="single"/>
        </w:rPr>
      </w:pPr>
      <w:r w:rsidRPr="00E71DAF">
        <w:rPr>
          <w:rFonts w:ascii="Times New Roman" w:hAnsi="Times New Roman" w:cs="Times New Roman"/>
          <w:b/>
          <w:bCs/>
          <w:u w:val="single"/>
        </w:rPr>
        <w:t>Funkcjonalności Systemu Monitorowania Zagrożeń (SMZ)</w:t>
      </w:r>
    </w:p>
    <w:p w:rsidR="00C92DAB" w:rsidRPr="00E71DAF" w:rsidRDefault="00C92DAB" w:rsidP="00C66264">
      <w:pPr>
        <w:spacing w:line="360" w:lineRule="auto"/>
        <w:contextualSpacing/>
        <w:jc w:val="both"/>
        <w:rPr>
          <w:rFonts w:ascii="Times New Roman" w:hAnsi="Times New Roman" w:cs="Times New Roman"/>
          <w:b/>
        </w:rPr>
      </w:pPr>
      <w:r w:rsidRPr="00E71DAF">
        <w:rPr>
          <w:rFonts w:ascii="Times New Roman" w:hAnsi="Times New Roman" w:cs="Times New Roman"/>
          <w:b/>
        </w:rPr>
        <w:t>Główne funkcjonalności SMZ</w:t>
      </w:r>
    </w:p>
    <w:p w:rsidR="00C92DAB" w:rsidRPr="00E71DAF" w:rsidRDefault="00C92DAB" w:rsidP="00C66264">
      <w:pPr>
        <w:spacing w:line="360" w:lineRule="auto"/>
        <w:contextualSpacing/>
        <w:jc w:val="both"/>
        <w:rPr>
          <w:rFonts w:ascii="Times New Roman" w:hAnsi="Times New Roman" w:cs="Times New Roman"/>
        </w:rPr>
      </w:pPr>
      <w:r w:rsidRPr="00E71DAF">
        <w:rPr>
          <w:rFonts w:ascii="Times New Roman" w:hAnsi="Times New Roman" w:cs="Times New Roman"/>
        </w:rPr>
        <w:t xml:space="preserve">System </w:t>
      </w:r>
      <w:r w:rsidR="00C36BD1" w:rsidRPr="00E71DAF">
        <w:rPr>
          <w:rFonts w:ascii="Times New Roman" w:hAnsi="Times New Roman" w:cs="Times New Roman"/>
        </w:rPr>
        <w:t>posiada funkcjonalność</w:t>
      </w:r>
      <w:r w:rsidRPr="00E71DAF">
        <w:rPr>
          <w:rFonts w:ascii="Times New Roman" w:hAnsi="Times New Roman" w:cs="Times New Roman"/>
        </w:rPr>
        <w:t xml:space="preserve"> w zakresie umożliwiającym usługodawcom i innym podmiotom zobowiązanym do składania informacji i zgłoszeń o zagrożenia</w:t>
      </w:r>
      <w:r w:rsidR="00C36BD1" w:rsidRPr="00E71DAF">
        <w:rPr>
          <w:rFonts w:ascii="Times New Roman" w:hAnsi="Times New Roman" w:cs="Times New Roman"/>
        </w:rPr>
        <w:t>ch do rejestrów, zidentyfikowane,</w:t>
      </w:r>
      <w:r w:rsidRPr="00E71DAF">
        <w:rPr>
          <w:rFonts w:ascii="Times New Roman" w:hAnsi="Times New Roman" w:cs="Times New Roman"/>
        </w:rPr>
        <w:t xml:space="preserve"> następujące główne procesy biznesowe:</w:t>
      </w:r>
    </w:p>
    <w:p w:rsidR="00C92DAB" w:rsidRPr="00E71DAF" w:rsidRDefault="00C92DAB" w:rsidP="00C66264">
      <w:pPr>
        <w:pStyle w:val="Akapitzlist"/>
        <w:numPr>
          <w:ilvl w:val="0"/>
          <w:numId w:val="11"/>
        </w:numPr>
        <w:spacing w:line="360" w:lineRule="auto"/>
        <w:jc w:val="both"/>
        <w:rPr>
          <w:rFonts w:ascii="Times New Roman" w:hAnsi="Times New Roman" w:cs="Times New Roman"/>
        </w:rPr>
      </w:pPr>
      <w:r w:rsidRPr="00E71DAF">
        <w:rPr>
          <w:rFonts w:ascii="Times New Roman" w:hAnsi="Times New Roman" w:cs="Times New Roman"/>
        </w:rPr>
        <w:t>Proces składania informacji i zgłoszeń o zagrożeniach,</w:t>
      </w:r>
    </w:p>
    <w:p w:rsidR="00C92DAB" w:rsidRPr="00E71DAF" w:rsidRDefault="00C92DAB" w:rsidP="00C66264">
      <w:pPr>
        <w:pStyle w:val="Akapitzlist"/>
        <w:numPr>
          <w:ilvl w:val="0"/>
          <w:numId w:val="11"/>
        </w:numPr>
        <w:spacing w:line="360" w:lineRule="auto"/>
        <w:jc w:val="both"/>
        <w:rPr>
          <w:rFonts w:ascii="Times New Roman" w:hAnsi="Times New Roman" w:cs="Times New Roman"/>
        </w:rPr>
      </w:pPr>
      <w:r w:rsidRPr="00E71DAF">
        <w:rPr>
          <w:rFonts w:ascii="Times New Roman" w:hAnsi="Times New Roman" w:cs="Times New Roman"/>
        </w:rPr>
        <w:t>Proces weryfikacji/przetworzenia danych zgłoszenia,</w:t>
      </w:r>
    </w:p>
    <w:p w:rsidR="00C92DAB" w:rsidRPr="00E71DAF" w:rsidRDefault="00C92DAB" w:rsidP="00C66264">
      <w:pPr>
        <w:pStyle w:val="Akapitzlist"/>
        <w:numPr>
          <w:ilvl w:val="0"/>
          <w:numId w:val="11"/>
        </w:numPr>
        <w:spacing w:line="360" w:lineRule="auto"/>
        <w:jc w:val="both"/>
        <w:rPr>
          <w:rFonts w:ascii="Times New Roman" w:hAnsi="Times New Roman" w:cs="Times New Roman"/>
        </w:rPr>
      </w:pPr>
      <w:r w:rsidRPr="00E71DAF">
        <w:rPr>
          <w:rFonts w:ascii="Times New Roman" w:hAnsi="Times New Roman" w:cs="Times New Roman"/>
        </w:rPr>
        <w:t>Analiza zagregowanych danych oraz ich eksport, generowanie raportów administracyjnych.</w:t>
      </w:r>
    </w:p>
    <w:p w:rsidR="00C92DAB" w:rsidRPr="00E71DAF" w:rsidRDefault="00C92DAB" w:rsidP="00C66264">
      <w:pPr>
        <w:spacing w:after="0" w:line="360" w:lineRule="auto"/>
        <w:contextualSpacing/>
        <w:jc w:val="both"/>
        <w:rPr>
          <w:rFonts w:ascii="Times New Roman" w:hAnsi="Times New Roman" w:cs="Times New Roman"/>
          <w:b/>
          <w:bCs/>
        </w:rPr>
      </w:pPr>
      <w:r w:rsidRPr="00E71DAF">
        <w:rPr>
          <w:rFonts w:ascii="Times New Roman" w:hAnsi="Times New Roman" w:cs="Times New Roman"/>
          <w:b/>
          <w:bCs/>
        </w:rPr>
        <w:t>Podstawowe funkcjonalności SMZ</w:t>
      </w:r>
    </w:p>
    <w:p w:rsidR="00C92DAB" w:rsidRPr="00E71DAF" w:rsidRDefault="00A10DF0" w:rsidP="00C66264">
      <w:pPr>
        <w:pStyle w:val="Akapitzlist"/>
        <w:numPr>
          <w:ilvl w:val="0"/>
          <w:numId w:val="16"/>
        </w:numPr>
        <w:spacing w:after="0" w:line="360" w:lineRule="auto"/>
        <w:ind w:left="851" w:hanging="425"/>
        <w:jc w:val="both"/>
        <w:rPr>
          <w:rFonts w:ascii="Times New Roman" w:hAnsi="Times New Roman" w:cs="Times New Roman"/>
          <w:bCs/>
        </w:rPr>
      </w:pPr>
      <w:r w:rsidRPr="00E71DAF">
        <w:rPr>
          <w:rFonts w:ascii="Times New Roman" w:hAnsi="Times New Roman" w:cs="Times New Roman"/>
          <w:bCs/>
        </w:rPr>
        <w:t>rejestracja</w:t>
      </w:r>
      <w:r w:rsidR="00C92DAB" w:rsidRPr="00E71DAF">
        <w:rPr>
          <w:rFonts w:ascii="Times New Roman" w:hAnsi="Times New Roman" w:cs="Times New Roman"/>
          <w:bCs/>
        </w:rPr>
        <w:t>/wprowadzenie danych zgłoszenia o zagrożeniu,</w:t>
      </w:r>
    </w:p>
    <w:p w:rsidR="00C92DAB" w:rsidRPr="00E71DAF" w:rsidRDefault="00C92DAB" w:rsidP="00C66264">
      <w:pPr>
        <w:pStyle w:val="Akapitzlist"/>
        <w:numPr>
          <w:ilvl w:val="0"/>
          <w:numId w:val="16"/>
        </w:numPr>
        <w:spacing w:line="360" w:lineRule="auto"/>
        <w:ind w:left="851" w:hanging="425"/>
        <w:jc w:val="both"/>
        <w:rPr>
          <w:rFonts w:ascii="Times New Roman" w:hAnsi="Times New Roman" w:cs="Times New Roman"/>
          <w:bCs/>
        </w:rPr>
      </w:pPr>
      <w:r w:rsidRPr="00E71DAF">
        <w:rPr>
          <w:rFonts w:ascii="Times New Roman" w:hAnsi="Times New Roman" w:cs="Times New Roman"/>
          <w:bCs/>
        </w:rPr>
        <w:t>przetwarzanie/edycję danych zgłoszenia,</w:t>
      </w:r>
    </w:p>
    <w:p w:rsidR="00C92DAB" w:rsidRPr="00E71DAF" w:rsidRDefault="00C92DAB" w:rsidP="00C66264">
      <w:pPr>
        <w:pStyle w:val="Akapitzlist"/>
        <w:numPr>
          <w:ilvl w:val="0"/>
          <w:numId w:val="16"/>
        </w:numPr>
        <w:spacing w:line="360" w:lineRule="auto"/>
        <w:ind w:left="851" w:hanging="425"/>
        <w:jc w:val="both"/>
        <w:rPr>
          <w:rFonts w:ascii="Times New Roman" w:hAnsi="Times New Roman" w:cs="Times New Roman"/>
          <w:bCs/>
        </w:rPr>
      </w:pPr>
      <w:r w:rsidRPr="00E71DAF">
        <w:rPr>
          <w:rFonts w:ascii="Times New Roman" w:hAnsi="Times New Roman" w:cs="Times New Roman"/>
          <w:bCs/>
        </w:rPr>
        <w:t>eksport danych zgłoszenia oraz eksport danych o zgłoszeniach,</w:t>
      </w:r>
    </w:p>
    <w:p w:rsidR="00C92DAB" w:rsidRPr="00E71DAF" w:rsidRDefault="00C92DAB" w:rsidP="00C66264">
      <w:pPr>
        <w:pStyle w:val="Akapitzlist"/>
        <w:numPr>
          <w:ilvl w:val="0"/>
          <w:numId w:val="16"/>
        </w:numPr>
        <w:spacing w:line="360" w:lineRule="auto"/>
        <w:ind w:left="851" w:hanging="425"/>
        <w:jc w:val="both"/>
        <w:rPr>
          <w:rFonts w:ascii="Times New Roman" w:hAnsi="Times New Roman" w:cs="Times New Roman"/>
          <w:bCs/>
        </w:rPr>
      </w:pPr>
      <w:r w:rsidRPr="00E71DAF">
        <w:rPr>
          <w:rFonts w:ascii="Times New Roman" w:hAnsi="Times New Roman" w:cs="Times New Roman"/>
          <w:bCs/>
        </w:rPr>
        <w:t>dodatkowo</w:t>
      </w:r>
      <w:r w:rsidR="00A10DF0" w:rsidRPr="00E71DAF">
        <w:rPr>
          <w:rFonts w:ascii="Times New Roman" w:hAnsi="Times New Roman" w:cs="Times New Roman"/>
          <w:bCs/>
        </w:rPr>
        <w:t>,</w:t>
      </w:r>
      <w:r w:rsidRPr="00E71DAF">
        <w:rPr>
          <w:rFonts w:ascii="Times New Roman" w:hAnsi="Times New Roman" w:cs="Times New Roman"/>
          <w:bCs/>
        </w:rPr>
        <w:t xml:space="preserve"> moduł Resortowego Systemu Wczesnego Ostrzegania zapewni realizację następujących funkcjonalności:</w:t>
      </w:r>
    </w:p>
    <w:p w:rsidR="00C92DAB" w:rsidRPr="00E71DAF" w:rsidRDefault="00C92DAB" w:rsidP="00C66264">
      <w:pPr>
        <w:pStyle w:val="Akapitzlist"/>
        <w:numPr>
          <w:ilvl w:val="1"/>
          <w:numId w:val="16"/>
        </w:numPr>
        <w:spacing w:line="360" w:lineRule="auto"/>
        <w:jc w:val="both"/>
        <w:rPr>
          <w:rFonts w:ascii="Times New Roman" w:hAnsi="Times New Roman" w:cs="Times New Roman"/>
          <w:bCs/>
        </w:rPr>
      </w:pPr>
      <w:r w:rsidRPr="00E71DAF">
        <w:rPr>
          <w:rFonts w:ascii="Times New Roman" w:hAnsi="Times New Roman" w:cs="Times New Roman"/>
          <w:bCs/>
        </w:rPr>
        <w:t>rejestrację/wprowadzenie informacji o niepożądanych zdarzeniach wraz z ewentualnymi załącznikami.</w:t>
      </w:r>
    </w:p>
    <w:p w:rsidR="00C92DAB" w:rsidRPr="00E71DAF" w:rsidRDefault="00C92DAB" w:rsidP="00C66264">
      <w:pPr>
        <w:spacing w:after="0" w:line="360" w:lineRule="auto"/>
        <w:contextualSpacing/>
        <w:jc w:val="both"/>
        <w:rPr>
          <w:rFonts w:ascii="Times New Roman" w:hAnsi="Times New Roman" w:cs="Times New Roman"/>
          <w:b/>
          <w:bCs/>
          <w:u w:val="single"/>
        </w:rPr>
      </w:pPr>
    </w:p>
    <w:p w:rsidR="00C92DAB" w:rsidRPr="00E71DAF" w:rsidRDefault="00C92DAB" w:rsidP="00C66264">
      <w:pPr>
        <w:spacing w:after="0" w:line="360" w:lineRule="auto"/>
        <w:contextualSpacing/>
        <w:jc w:val="both"/>
        <w:rPr>
          <w:rFonts w:ascii="Times New Roman" w:hAnsi="Times New Roman" w:cs="Times New Roman"/>
          <w:b/>
          <w:bCs/>
          <w:u w:val="single"/>
        </w:rPr>
      </w:pPr>
      <w:r w:rsidRPr="00E71DAF">
        <w:rPr>
          <w:rFonts w:ascii="Times New Roman" w:hAnsi="Times New Roman" w:cs="Times New Roman"/>
          <w:b/>
          <w:bCs/>
          <w:u w:val="single"/>
        </w:rPr>
        <w:t>Funkcjonalności Zintegrowanego Systemu Monitorowania Obrotu Produktami Leczniczymi (ZSMOPL)</w:t>
      </w:r>
    </w:p>
    <w:p w:rsidR="00C92DAB" w:rsidRPr="00E71DAF" w:rsidRDefault="00C92DAB" w:rsidP="00C66264">
      <w:pPr>
        <w:spacing w:line="360" w:lineRule="auto"/>
        <w:contextualSpacing/>
        <w:jc w:val="both"/>
        <w:rPr>
          <w:rFonts w:ascii="Times New Roman" w:hAnsi="Times New Roman" w:cs="Times New Roman"/>
          <w:b/>
        </w:rPr>
      </w:pPr>
      <w:r w:rsidRPr="00E71DAF">
        <w:rPr>
          <w:rFonts w:ascii="Times New Roman" w:hAnsi="Times New Roman" w:cs="Times New Roman"/>
          <w:b/>
        </w:rPr>
        <w:t>Główne funkcjonalności ZSMOPL</w:t>
      </w:r>
    </w:p>
    <w:p w:rsidR="00C92DAB" w:rsidRPr="00E71DAF" w:rsidRDefault="00C92DAB" w:rsidP="00C66264">
      <w:pPr>
        <w:spacing w:line="360" w:lineRule="auto"/>
        <w:contextualSpacing/>
        <w:jc w:val="both"/>
        <w:rPr>
          <w:rFonts w:ascii="Times New Roman" w:hAnsi="Times New Roman" w:cs="Times New Roman"/>
        </w:rPr>
      </w:pPr>
      <w:r w:rsidRPr="00E71DAF">
        <w:rPr>
          <w:rFonts w:ascii="Times New Roman" w:hAnsi="Times New Roman" w:cs="Times New Roman"/>
        </w:rPr>
        <w:lastRenderedPageBreak/>
        <w:t>System umożliwiający obsługę procesów monitorowania obrotu produktami leczniczymi, ciągłości ich dostaw oraz występowania ich braków na rynku polskim.</w:t>
      </w:r>
    </w:p>
    <w:p w:rsidR="00C92DAB" w:rsidRPr="00E71DAF" w:rsidRDefault="00C92DAB" w:rsidP="00C66264">
      <w:pPr>
        <w:spacing w:after="0" w:line="360" w:lineRule="auto"/>
        <w:contextualSpacing/>
        <w:jc w:val="both"/>
        <w:rPr>
          <w:rFonts w:ascii="Times New Roman" w:hAnsi="Times New Roman" w:cs="Times New Roman"/>
          <w:b/>
        </w:rPr>
      </w:pPr>
    </w:p>
    <w:p w:rsidR="00C92DAB" w:rsidRPr="00E71DAF" w:rsidRDefault="00C92DAB" w:rsidP="00C66264">
      <w:pPr>
        <w:spacing w:after="0" w:line="360" w:lineRule="auto"/>
        <w:jc w:val="both"/>
        <w:rPr>
          <w:rFonts w:ascii="Times New Roman" w:hAnsi="Times New Roman" w:cs="Times New Roman"/>
          <w:b/>
        </w:rPr>
      </w:pPr>
      <w:r w:rsidRPr="00E71DAF">
        <w:rPr>
          <w:rFonts w:ascii="Times New Roman" w:hAnsi="Times New Roman" w:cs="Times New Roman"/>
          <w:b/>
        </w:rPr>
        <w:t xml:space="preserve">Podstawowe funkcjonalności ZSMOPL: </w:t>
      </w:r>
    </w:p>
    <w:p w:rsidR="00C92DAB" w:rsidRPr="00E71DAF" w:rsidRDefault="00C92DAB" w:rsidP="00C66264">
      <w:pPr>
        <w:pStyle w:val="Akapitzlist"/>
        <w:numPr>
          <w:ilvl w:val="0"/>
          <w:numId w:val="28"/>
        </w:numPr>
        <w:spacing w:line="360" w:lineRule="auto"/>
        <w:jc w:val="both"/>
        <w:rPr>
          <w:rFonts w:ascii="Times New Roman" w:hAnsi="Times New Roman" w:cs="Times New Roman"/>
        </w:rPr>
      </w:pPr>
      <w:r w:rsidRPr="00E71DAF">
        <w:rPr>
          <w:rFonts w:ascii="Times New Roman" w:hAnsi="Times New Roman" w:cs="Times New Roman"/>
        </w:rPr>
        <w:t>gromadzenie, przetwarzanie i udostępnianie danych dot. obrotu produktami leczniczymi,</w:t>
      </w:r>
    </w:p>
    <w:p w:rsidR="00C92DAB" w:rsidRPr="00E71DAF" w:rsidRDefault="00C92DAB" w:rsidP="00C66264">
      <w:pPr>
        <w:pStyle w:val="Akapitzlist"/>
        <w:numPr>
          <w:ilvl w:val="0"/>
          <w:numId w:val="21"/>
        </w:numPr>
        <w:spacing w:line="360" w:lineRule="auto"/>
        <w:jc w:val="both"/>
        <w:rPr>
          <w:rFonts w:ascii="Times New Roman" w:hAnsi="Times New Roman" w:cs="Times New Roman"/>
        </w:rPr>
      </w:pPr>
      <w:r w:rsidRPr="00E71DAF">
        <w:rPr>
          <w:rFonts w:ascii="Times New Roman" w:hAnsi="Times New Roman" w:cs="Times New Roman"/>
        </w:rPr>
        <w:t>gromadzenie, przetwarzanie i udostępnianie danych dot. zgłoszeń braków,</w:t>
      </w:r>
    </w:p>
    <w:p w:rsidR="00C92DAB" w:rsidRPr="00E71DAF" w:rsidRDefault="00C92DAB" w:rsidP="00C66264">
      <w:pPr>
        <w:pStyle w:val="Akapitzlist"/>
        <w:numPr>
          <w:ilvl w:val="0"/>
          <w:numId w:val="21"/>
        </w:numPr>
        <w:spacing w:after="0" w:line="360" w:lineRule="auto"/>
        <w:jc w:val="both"/>
        <w:rPr>
          <w:rFonts w:ascii="Times New Roman" w:hAnsi="Times New Roman" w:cs="Times New Roman"/>
          <w:b/>
          <w:bCs/>
          <w:u w:val="single"/>
        </w:rPr>
      </w:pPr>
      <w:r w:rsidRPr="00E71DAF">
        <w:rPr>
          <w:rFonts w:ascii="Times New Roman" w:hAnsi="Times New Roman" w:cs="Times New Roman"/>
        </w:rPr>
        <w:t>gromadzenie, przetwarzanie i udostępnianie danych dot. deklaracji dostaw.</w:t>
      </w:r>
    </w:p>
    <w:p w:rsidR="00C92DAB" w:rsidRPr="00E71DAF" w:rsidRDefault="00C92DAB" w:rsidP="00C66264">
      <w:pPr>
        <w:spacing w:after="0" w:line="360" w:lineRule="auto"/>
        <w:ind w:left="357"/>
        <w:jc w:val="both"/>
        <w:rPr>
          <w:rFonts w:ascii="Times New Roman" w:hAnsi="Times New Roman" w:cs="Times New Roman"/>
          <w:b/>
        </w:rPr>
      </w:pPr>
    </w:p>
    <w:p w:rsidR="00C92DAB" w:rsidRPr="00E71DAF" w:rsidRDefault="00C92DAB" w:rsidP="00C66264">
      <w:pPr>
        <w:spacing w:after="0" w:line="360" w:lineRule="auto"/>
        <w:contextualSpacing/>
        <w:jc w:val="both"/>
        <w:rPr>
          <w:rFonts w:ascii="Times New Roman" w:hAnsi="Times New Roman" w:cs="Times New Roman"/>
          <w:b/>
          <w:bCs/>
          <w:u w:val="single"/>
        </w:rPr>
      </w:pPr>
      <w:r w:rsidRPr="00E71DAF">
        <w:rPr>
          <w:rFonts w:ascii="Times New Roman" w:hAnsi="Times New Roman" w:cs="Times New Roman"/>
          <w:b/>
          <w:bCs/>
          <w:u w:val="single"/>
        </w:rPr>
        <w:t>Funkcjonalności Systemu Ewidencji Zasobów Ochrony Zdrowia (SEZOZ)</w:t>
      </w:r>
    </w:p>
    <w:p w:rsidR="00C92DAB" w:rsidRPr="00E71DAF" w:rsidRDefault="00C92DAB" w:rsidP="00C66264">
      <w:pPr>
        <w:spacing w:after="0" w:line="360" w:lineRule="auto"/>
        <w:contextualSpacing/>
        <w:jc w:val="both"/>
        <w:rPr>
          <w:rFonts w:ascii="Times New Roman" w:hAnsi="Times New Roman" w:cs="Times New Roman"/>
          <w:b/>
          <w:bCs/>
        </w:rPr>
      </w:pPr>
      <w:r w:rsidRPr="00E71DAF">
        <w:rPr>
          <w:rFonts w:ascii="Times New Roman" w:hAnsi="Times New Roman" w:cs="Times New Roman"/>
          <w:b/>
        </w:rPr>
        <w:t>Główne funkcjonalności SEZOZ:</w:t>
      </w:r>
    </w:p>
    <w:p w:rsidR="00C92DAB" w:rsidRPr="00E71DAF" w:rsidRDefault="00C92DAB" w:rsidP="00C66264">
      <w:pPr>
        <w:pStyle w:val="Akapitzlist"/>
        <w:numPr>
          <w:ilvl w:val="0"/>
          <w:numId w:val="23"/>
        </w:numPr>
        <w:spacing w:after="0" w:line="360" w:lineRule="auto"/>
        <w:jc w:val="both"/>
        <w:rPr>
          <w:rFonts w:ascii="Times New Roman" w:hAnsi="Times New Roman" w:cs="Times New Roman"/>
          <w:b/>
          <w:bCs/>
          <w:u w:val="single"/>
        </w:rPr>
      </w:pPr>
      <w:r w:rsidRPr="00E71DAF">
        <w:rPr>
          <w:rFonts w:ascii="Times New Roman" w:hAnsi="Times New Roman" w:cs="Times New Roman"/>
        </w:rPr>
        <w:t>przeglądanie, modyfikacja, wysyłanie zgłoszeń wyrobów medycznych i zadań szczególnych,</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przeglądanie rejestru płatników, Zarządzanie danymi instytucji kontrolujących,</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 xml:space="preserve">kontrola nad zasobami, Przeglądanie rejestru wyrobów medycznych, </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 xml:space="preserve">przeglądanie rejestru zadań szczególnych, </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 xml:space="preserve">eksport danych do plików zewnętrznych, </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 xml:space="preserve">przeglądanie rejestru płatników, </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przeglądanie rejestru instytucji kontrolujących,</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zarządzanie danymi jednostki kontrolującej,</w:t>
      </w:r>
    </w:p>
    <w:p w:rsidR="00C92DAB" w:rsidRPr="00E71DAF" w:rsidRDefault="00C92DAB" w:rsidP="00C66264">
      <w:pPr>
        <w:pStyle w:val="Akapitzlist"/>
        <w:numPr>
          <w:ilvl w:val="0"/>
          <w:numId w:val="23"/>
        </w:numPr>
        <w:spacing w:line="360" w:lineRule="auto"/>
        <w:jc w:val="both"/>
        <w:rPr>
          <w:rFonts w:ascii="Times New Roman" w:hAnsi="Times New Roman" w:cs="Times New Roman"/>
        </w:rPr>
      </w:pPr>
      <w:r w:rsidRPr="00E71DAF">
        <w:rPr>
          <w:rFonts w:ascii="Times New Roman" w:hAnsi="Times New Roman" w:cs="Times New Roman"/>
        </w:rPr>
        <w:t>dodawanie oraz usuwanie użytkowników, oraz grup użytkowników w  ramach swojego podmiotu,</w:t>
      </w:r>
    </w:p>
    <w:p w:rsidR="00C92DAB" w:rsidRPr="00E71DAF" w:rsidRDefault="00C92DAB" w:rsidP="00C66264">
      <w:pPr>
        <w:pStyle w:val="Akapitzlist"/>
        <w:numPr>
          <w:ilvl w:val="0"/>
          <w:numId w:val="23"/>
        </w:numPr>
        <w:spacing w:after="0" w:line="360" w:lineRule="auto"/>
        <w:jc w:val="both"/>
        <w:rPr>
          <w:rFonts w:ascii="Times New Roman" w:hAnsi="Times New Roman" w:cs="Times New Roman"/>
        </w:rPr>
      </w:pPr>
      <w:r w:rsidRPr="00E71DAF">
        <w:rPr>
          <w:rFonts w:ascii="Times New Roman" w:hAnsi="Times New Roman" w:cs="Times New Roman"/>
        </w:rPr>
        <w:t xml:space="preserve">przeglądanie, wysyłanie zgłoszeń wyrobów medycznych, </w:t>
      </w:r>
    </w:p>
    <w:p w:rsidR="00C92DAB" w:rsidRPr="00E71DAF" w:rsidRDefault="00C92DAB" w:rsidP="00C66264">
      <w:pPr>
        <w:pStyle w:val="Akapitzlist"/>
        <w:numPr>
          <w:ilvl w:val="0"/>
          <w:numId w:val="23"/>
        </w:numPr>
        <w:spacing w:after="0" w:line="360" w:lineRule="auto"/>
        <w:jc w:val="both"/>
        <w:rPr>
          <w:rFonts w:ascii="Times New Roman" w:hAnsi="Times New Roman" w:cs="Times New Roman"/>
        </w:rPr>
      </w:pPr>
      <w:r w:rsidRPr="00E71DAF">
        <w:rPr>
          <w:rFonts w:ascii="Times New Roman" w:hAnsi="Times New Roman" w:cs="Times New Roman"/>
        </w:rPr>
        <w:t xml:space="preserve">administracja zgłoszeń zadań szczególnych, </w:t>
      </w:r>
    </w:p>
    <w:p w:rsidR="00C92DAB" w:rsidRPr="00E71DAF" w:rsidRDefault="00C92DAB" w:rsidP="00C66264">
      <w:pPr>
        <w:pStyle w:val="Akapitzlist"/>
        <w:numPr>
          <w:ilvl w:val="0"/>
          <w:numId w:val="23"/>
        </w:numPr>
        <w:spacing w:after="0" w:line="360" w:lineRule="auto"/>
        <w:jc w:val="both"/>
        <w:rPr>
          <w:rFonts w:ascii="Times New Roman" w:hAnsi="Times New Roman" w:cs="Times New Roman"/>
          <w:b/>
          <w:bCs/>
        </w:rPr>
      </w:pPr>
      <w:r w:rsidRPr="00E71DAF">
        <w:rPr>
          <w:rFonts w:ascii="Times New Roman" w:hAnsi="Times New Roman" w:cs="Times New Roman"/>
        </w:rPr>
        <w:t>przeglądanie rejestru płatników, Przeglądanie rejestru instytucji kontrolujących.</w:t>
      </w:r>
    </w:p>
    <w:p w:rsidR="00C92DAB" w:rsidRPr="00E71DAF" w:rsidRDefault="00C92DAB" w:rsidP="00C66264">
      <w:pPr>
        <w:pStyle w:val="Akapitzlist"/>
        <w:spacing w:line="360" w:lineRule="auto"/>
        <w:jc w:val="both"/>
        <w:rPr>
          <w:rFonts w:ascii="Times New Roman" w:hAnsi="Times New Roman" w:cs="Times New Roman"/>
        </w:rPr>
      </w:pPr>
    </w:p>
    <w:p w:rsidR="00C92DAB" w:rsidRPr="00E71DAF" w:rsidRDefault="00C92DAB" w:rsidP="00C66264">
      <w:pPr>
        <w:spacing w:after="0" w:line="360" w:lineRule="auto"/>
        <w:contextualSpacing/>
        <w:jc w:val="both"/>
        <w:rPr>
          <w:rFonts w:ascii="Times New Roman" w:hAnsi="Times New Roman" w:cs="Times New Roman"/>
          <w:b/>
          <w:bCs/>
          <w:u w:val="single"/>
        </w:rPr>
      </w:pPr>
      <w:r w:rsidRPr="00E71DAF">
        <w:rPr>
          <w:rFonts w:ascii="Times New Roman" w:hAnsi="Times New Roman" w:cs="Times New Roman"/>
          <w:b/>
          <w:bCs/>
          <w:u w:val="single"/>
        </w:rPr>
        <w:t>Funkcjonalności Systemu Statystyki w Ochronie Zdrowia (SSOZ)</w:t>
      </w:r>
    </w:p>
    <w:p w:rsidR="00C92DAB" w:rsidRPr="00E71DAF" w:rsidRDefault="00C92DAB" w:rsidP="00C66264">
      <w:pPr>
        <w:spacing w:line="360" w:lineRule="auto"/>
        <w:contextualSpacing/>
        <w:jc w:val="both"/>
        <w:rPr>
          <w:rFonts w:ascii="Times New Roman" w:hAnsi="Times New Roman" w:cs="Times New Roman"/>
          <w:b/>
        </w:rPr>
      </w:pPr>
      <w:r w:rsidRPr="00E71DAF">
        <w:rPr>
          <w:rFonts w:ascii="Times New Roman" w:hAnsi="Times New Roman" w:cs="Times New Roman"/>
          <w:b/>
        </w:rPr>
        <w:t>Główne funkcjonalności SSOZ:</w:t>
      </w:r>
    </w:p>
    <w:p w:rsidR="00C92DAB" w:rsidRPr="00E71DAF" w:rsidRDefault="00C92DAB" w:rsidP="00C66264">
      <w:pPr>
        <w:pStyle w:val="Akapitzlist"/>
        <w:numPr>
          <w:ilvl w:val="0"/>
          <w:numId w:val="10"/>
        </w:numPr>
        <w:spacing w:line="360" w:lineRule="auto"/>
        <w:jc w:val="both"/>
        <w:rPr>
          <w:rFonts w:ascii="Times New Roman" w:hAnsi="Times New Roman" w:cs="Times New Roman"/>
        </w:rPr>
      </w:pPr>
      <w:r w:rsidRPr="00E71DAF">
        <w:rPr>
          <w:rFonts w:ascii="Times New Roman" w:hAnsi="Times New Roman" w:cs="Times New Roman"/>
        </w:rPr>
        <w:t>zbieranie danych ze sprawozdań sta</w:t>
      </w:r>
      <w:r w:rsidR="00A10DF0" w:rsidRPr="00E71DAF">
        <w:rPr>
          <w:rFonts w:ascii="Times New Roman" w:hAnsi="Times New Roman" w:cs="Times New Roman"/>
        </w:rPr>
        <w:t>tystycznych oraz sprawozdań nie</w:t>
      </w:r>
      <w:r w:rsidRPr="00E71DAF">
        <w:rPr>
          <w:rFonts w:ascii="Times New Roman" w:hAnsi="Times New Roman" w:cs="Times New Roman"/>
        </w:rPr>
        <w:t>objętych statystyką publiczną (finansowych, ratownictwo medyczne),</w:t>
      </w:r>
    </w:p>
    <w:p w:rsidR="00C92DAB" w:rsidRPr="00E71DAF" w:rsidRDefault="00C92DAB" w:rsidP="00C66264">
      <w:pPr>
        <w:pStyle w:val="Akapitzlist"/>
        <w:numPr>
          <w:ilvl w:val="0"/>
          <w:numId w:val="10"/>
        </w:numPr>
        <w:spacing w:after="0" w:line="360" w:lineRule="auto"/>
        <w:jc w:val="both"/>
        <w:rPr>
          <w:rFonts w:ascii="Times New Roman" w:hAnsi="Times New Roman" w:cs="Times New Roman"/>
        </w:rPr>
      </w:pPr>
      <w:r w:rsidRPr="00E71DAF">
        <w:rPr>
          <w:rFonts w:ascii="Times New Roman" w:hAnsi="Times New Roman" w:cs="Times New Roman"/>
        </w:rPr>
        <w:t>zbieranie danych z systemów dziedzinowych w ramach Systemu Informacji Medycznej.</w:t>
      </w:r>
    </w:p>
    <w:p w:rsidR="00C92DAB" w:rsidRPr="00E71DAF" w:rsidRDefault="00C92DAB" w:rsidP="00C66264">
      <w:pPr>
        <w:spacing w:after="0" w:line="360" w:lineRule="auto"/>
        <w:contextualSpacing/>
        <w:jc w:val="both"/>
        <w:rPr>
          <w:rFonts w:ascii="Times New Roman" w:hAnsi="Times New Roman" w:cs="Times New Roman"/>
          <w:b/>
        </w:rPr>
      </w:pPr>
      <w:r w:rsidRPr="00E71DAF">
        <w:rPr>
          <w:rFonts w:ascii="Times New Roman" w:hAnsi="Times New Roman" w:cs="Times New Roman"/>
          <w:b/>
        </w:rPr>
        <w:t>Podstawowe funkcjonalności SSOZ:</w:t>
      </w:r>
    </w:p>
    <w:p w:rsidR="00C92DAB" w:rsidRPr="00E71DAF" w:rsidRDefault="00C92DAB" w:rsidP="00C66264">
      <w:pPr>
        <w:pStyle w:val="Akapitzlist"/>
        <w:numPr>
          <w:ilvl w:val="0"/>
          <w:numId w:val="10"/>
        </w:numPr>
        <w:spacing w:line="360" w:lineRule="auto"/>
        <w:jc w:val="both"/>
        <w:rPr>
          <w:rFonts w:ascii="Times New Roman" w:hAnsi="Times New Roman" w:cs="Times New Roman"/>
        </w:rPr>
      </w:pPr>
      <w:r w:rsidRPr="00E71DAF">
        <w:rPr>
          <w:rFonts w:ascii="Times New Roman" w:hAnsi="Times New Roman" w:cs="Times New Roman"/>
        </w:rPr>
        <w:lastRenderedPageBreak/>
        <w:t>wprowadzenie zautomatyzowanych mechanizmów porównawczych między danymi z bieżącego okresu sprawozdawczego a poprzednich okresów,</w:t>
      </w:r>
      <w:r w:rsidRPr="00E71DAF" w:rsidDel="00A15BBA">
        <w:rPr>
          <w:rFonts w:ascii="Times New Roman" w:hAnsi="Times New Roman" w:cs="Times New Roman"/>
        </w:rPr>
        <w:t xml:space="preserve"> </w:t>
      </w:r>
      <w:r w:rsidRPr="00E71DAF">
        <w:rPr>
          <w:rFonts w:ascii="Times New Roman" w:hAnsi="Times New Roman" w:cs="Times New Roman"/>
        </w:rPr>
        <w:t>wdrożenie kreatora formularzy sprawozdawczych, dostosowanych do wymagań stawianych w PBSSP,</w:t>
      </w:r>
    </w:p>
    <w:p w:rsidR="00C92DAB" w:rsidRPr="00E71DAF" w:rsidRDefault="00C92DAB" w:rsidP="00C66264">
      <w:pPr>
        <w:pStyle w:val="Akapitzlist"/>
        <w:numPr>
          <w:ilvl w:val="0"/>
          <w:numId w:val="10"/>
        </w:numPr>
        <w:spacing w:line="360" w:lineRule="auto"/>
        <w:jc w:val="both"/>
        <w:rPr>
          <w:rFonts w:ascii="Times New Roman" w:hAnsi="Times New Roman" w:cs="Times New Roman"/>
        </w:rPr>
      </w:pPr>
      <w:r w:rsidRPr="00E71DAF">
        <w:rPr>
          <w:rFonts w:ascii="Times New Roman" w:hAnsi="Times New Roman" w:cs="Times New Roman"/>
        </w:rPr>
        <w:t>wdrożenie narzędzi ewaluacyjnych dotyczących stanu realizacji obowiązku statystycznego przed jednostki sprawozdawcze,</w:t>
      </w:r>
    </w:p>
    <w:p w:rsidR="00C92DAB" w:rsidRPr="00E71DAF" w:rsidRDefault="00C92DAB" w:rsidP="00C66264">
      <w:pPr>
        <w:pStyle w:val="Akapitzlist"/>
        <w:numPr>
          <w:ilvl w:val="0"/>
          <w:numId w:val="10"/>
        </w:numPr>
        <w:spacing w:line="360" w:lineRule="auto"/>
        <w:jc w:val="both"/>
        <w:rPr>
          <w:rFonts w:ascii="Times New Roman" w:hAnsi="Times New Roman" w:cs="Times New Roman"/>
        </w:rPr>
      </w:pPr>
      <w:r w:rsidRPr="00E71DAF">
        <w:rPr>
          <w:rFonts w:ascii="Times New Roman" w:hAnsi="Times New Roman" w:cs="Times New Roman"/>
        </w:rPr>
        <w:t>wdrożenie mechanizmów umożliwiających na obsługę sprawozdawczości jednorazowej,</w:t>
      </w:r>
    </w:p>
    <w:p w:rsidR="00C92DAB" w:rsidRPr="00E71DAF" w:rsidRDefault="00C92DAB" w:rsidP="00C66264">
      <w:pPr>
        <w:pStyle w:val="Akapitzlist"/>
        <w:numPr>
          <w:ilvl w:val="0"/>
          <w:numId w:val="10"/>
        </w:numPr>
        <w:spacing w:line="360" w:lineRule="auto"/>
        <w:jc w:val="both"/>
        <w:rPr>
          <w:rFonts w:ascii="Times New Roman" w:hAnsi="Times New Roman" w:cs="Times New Roman"/>
        </w:rPr>
      </w:pPr>
      <w:r w:rsidRPr="00E71DAF">
        <w:rPr>
          <w:rFonts w:ascii="Times New Roman" w:hAnsi="Times New Roman" w:cs="Times New Roman"/>
        </w:rPr>
        <w:t>integracja z systemem Rejestrem Podmiotów Wykonujących Działalność Leczniczą (RPWDL) w zakresie struktury podmiotów leczniczych i łóżek.</w:t>
      </w:r>
    </w:p>
    <w:sectPr w:rsidR="00C92DAB" w:rsidRPr="00E71DAF" w:rsidSect="00C16B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6B" w:rsidRDefault="00C4666B">
      <w:pPr>
        <w:spacing w:after="0" w:line="240" w:lineRule="auto"/>
      </w:pPr>
      <w:r>
        <w:separator/>
      </w:r>
    </w:p>
  </w:endnote>
  <w:endnote w:type="continuationSeparator" w:id="0">
    <w:p w:rsidR="00C4666B" w:rsidRDefault="00C4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13" w:rsidRDefault="00C4666B">
    <w:pPr>
      <w:pStyle w:val="Stopka"/>
      <w:jc w:val="right"/>
    </w:pPr>
  </w:p>
  <w:p w:rsidR="002765FD" w:rsidRDefault="002765FD" w:rsidP="002765FD">
    <w:pPr>
      <w:pStyle w:val="Stopka"/>
      <w:jc w:val="right"/>
    </w:pPr>
    <w:r>
      <w:rPr>
        <w:noProof/>
        <w:lang w:eastAsia="pl-PL"/>
      </w:rPr>
      <w:drawing>
        <wp:inline distT="0" distB="0" distL="0" distR="0" wp14:anchorId="389D226D" wp14:editId="7F3E7248">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Content>
      <w:p w:rsidR="002765FD" w:rsidRPr="00B85136" w:rsidRDefault="002765FD" w:rsidP="002765FD">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Pr>
            <w:rFonts w:ascii="Arial" w:hAnsi="Arial" w:cs="Arial"/>
            <w:noProof/>
            <w:sz w:val="20"/>
            <w:szCs w:val="20"/>
          </w:rPr>
          <w:t>1</w:t>
        </w:r>
        <w:r w:rsidRPr="00B85136">
          <w:rPr>
            <w:rFonts w:ascii="Arial" w:hAnsi="Arial" w:cs="Arial"/>
            <w:sz w:val="20"/>
            <w:szCs w:val="20"/>
          </w:rPr>
          <w:fldChar w:fldCharType="end"/>
        </w:r>
      </w:p>
    </w:sdtContent>
  </w:sdt>
  <w:p w:rsidR="00180913" w:rsidRDefault="00C4666B" w:rsidP="00276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6B" w:rsidRDefault="00C4666B">
      <w:pPr>
        <w:spacing w:after="0" w:line="240" w:lineRule="auto"/>
      </w:pPr>
      <w:r>
        <w:separator/>
      </w:r>
    </w:p>
  </w:footnote>
  <w:footnote w:type="continuationSeparator" w:id="0">
    <w:p w:rsidR="00C4666B" w:rsidRDefault="00C4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r>
      <w:rPr>
        <w:noProof/>
        <w:lang w:eastAsia="pl-PL"/>
      </w:rPr>
      <w:drawing>
        <wp:inline distT="0" distB="0" distL="0" distR="0" wp14:anchorId="7B080AA3" wp14:editId="7E8D1256">
          <wp:extent cx="5760720" cy="11270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70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78A"/>
    <w:multiLevelType w:val="hybridMultilevel"/>
    <w:tmpl w:val="2E4212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6309F6"/>
    <w:multiLevelType w:val="hybridMultilevel"/>
    <w:tmpl w:val="B4FC9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D6986"/>
    <w:multiLevelType w:val="hybridMultilevel"/>
    <w:tmpl w:val="1E5E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F7B70"/>
    <w:multiLevelType w:val="hybridMultilevel"/>
    <w:tmpl w:val="819CD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5D174A"/>
    <w:multiLevelType w:val="hybridMultilevel"/>
    <w:tmpl w:val="291C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102B8"/>
    <w:multiLevelType w:val="hybridMultilevel"/>
    <w:tmpl w:val="E206B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582378"/>
    <w:multiLevelType w:val="hybridMultilevel"/>
    <w:tmpl w:val="BEA2DF58"/>
    <w:lvl w:ilvl="0" w:tplc="E63C25C0">
      <w:start w:val="1"/>
      <w:numFmt w:val="bullet"/>
      <w:lvlText w:val="•"/>
      <w:lvlJc w:val="left"/>
      <w:pPr>
        <w:tabs>
          <w:tab w:val="num" w:pos="720"/>
        </w:tabs>
        <w:ind w:left="720" w:hanging="360"/>
      </w:pPr>
      <w:rPr>
        <w:rFonts w:ascii="Arial" w:hAnsi="Arial" w:hint="default"/>
      </w:rPr>
    </w:lvl>
    <w:lvl w:ilvl="1" w:tplc="8F10C092" w:tentative="1">
      <w:start w:val="1"/>
      <w:numFmt w:val="bullet"/>
      <w:lvlText w:val="•"/>
      <w:lvlJc w:val="left"/>
      <w:pPr>
        <w:tabs>
          <w:tab w:val="num" w:pos="1440"/>
        </w:tabs>
        <w:ind w:left="1440" w:hanging="360"/>
      </w:pPr>
      <w:rPr>
        <w:rFonts w:ascii="Arial" w:hAnsi="Arial" w:hint="default"/>
      </w:rPr>
    </w:lvl>
    <w:lvl w:ilvl="2" w:tplc="52D2DA88" w:tentative="1">
      <w:start w:val="1"/>
      <w:numFmt w:val="bullet"/>
      <w:lvlText w:val="•"/>
      <w:lvlJc w:val="left"/>
      <w:pPr>
        <w:tabs>
          <w:tab w:val="num" w:pos="2160"/>
        </w:tabs>
        <w:ind w:left="2160" w:hanging="360"/>
      </w:pPr>
      <w:rPr>
        <w:rFonts w:ascii="Arial" w:hAnsi="Arial" w:hint="default"/>
      </w:rPr>
    </w:lvl>
    <w:lvl w:ilvl="3" w:tplc="2384C8FC" w:tentative="1">
      <w:start w:val="1"/>
      <w:numFmt w:val="bullet"/>
      <w:lvlText w:val="•"/>
      <w:lvlJc w:val="left"/>
      <w:pPr>
        <w:tabs>
          <w:tab w:val="num" w:pos="2880"/>
        </w:tabs>
        <w:ind w:left="2880" w:hanging="360"/>
      </w:pPr>
      <w:rPr>
        <w:rFonts w:ascii="Arial" w:hAnsi="Arial" w:hint="default"/>
      </w:rPr>
    </w:lvl>
    <w:lvl w:ilvl="4" w:tplc="25CEC920" w:tentative="1">
      <w:start w:val="1"/>
      <w:numFmt w:val="bullet"/>
      <w:lvlText w:val="•"/>
      <w:lvlJc w:val="left"/>
      <w:pPr>
        <w:tabs>
          <w:tab w:val="num" w:pos="3600"/>
        </w:tabs>
        <w:ind w:left="3600" w:hanging="360"/>
      </w:pPr>
      <w:rPr>
        <w:rFonts w:ascii="Arial" w:hAnsi="Arial" w:hint="default"/>
      </w:rPr>
    </w:lvl>
    <w:lvl w:ilvl="5" w:tplc="567A1D02" w:tentative="1">
      <w:start w:val="1"/>
      <w:numFmt w:val="bullet"/>
      <w:lvlText w:val="•"/>
      <w:lvlJc w:val="left"/>
      <w:pPr>
        <w:tabs>
          <w:tab w:val="num" w:pos="4320"/>
        </w:tabs>
        <w:ind w:left="4320" w:hanging="360"/>
      </w:pPr>
      <w:rPr>
        <w:rFonts w:ascii="Arial" w:hAnsi="Arial" w:hint="default"/>
      </w:rPr>
    </w:lvl>
    <w:lvl w:ilvl="6" w:tplc="6096DB78" w:tentative="1">
      <w:start w:val="1"/>
      <w:numFmt w:val="bullet"/>
      <w:lvlText w:val="•"/>
      <w:lvlJc w:val="left"/>
      <w:pPr>
        <w:tabs>
          <w:tab w:val="num" w:pos="5040"/>
        </w:tabs>
        <w:ind w:left="5040" w:hanging="360"/>
      </w:pPr>
      <w:rPr>
        <w:rFonts w:ascii="Arial" w:hAnsi="Arial" w:hint="default"/>
      </w:rPr>
    </w:lvl>
    <w:lvl w:ilvl="7" w:tplc="0BE6D1A0" w:tentative="1">
      <w:start w:val="1"/>
      <w:numFmt w:val="bullet"/>
      <w:lvlText w:val="•"/>
      <w:lvlJc w:val="left"/>
      <w:pPr>
        <w:tabs>
          <w:tab w:val="num" w:pos="5760"/>
        </w:tabs>
        <w:ind w:left="5760" w:hanging="360"/>
      </w:pPr>
      <w:rPr>
        <w:rFonts w:ascii="Arial" w:hAnsi="Arial" w:hint="default"/>
      </w:rPr>
    </w:lvl>
    <w:lvl w:ilvl="8" w:tplc="8E721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43386C"/>
    <w:multiLevelType w:val="hybridMultilevel"/>
    <w:tmpl w:val="7CA08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20F8C"/>
    <w:multiLevelType w:val="hybridMultilevel"/>
    <w:tmpl w:val="3684E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F5620E"/>
    <w:multiLevelType w:val="hybridMultilevel"/>
    <w:tmpl w:val="D9BEF2A6"/>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CF2F78"/>
    <w:multiLevelType w:val="hybridMultilevel"/>
    <w:tmpl w:val="70D8A28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EF4C2C"/>
    <w:multiLevelType w:val="multilevel"/>
    <w:tmpl w:val="F52A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87832"/>
    <w:multiLevelType w:val="hybridMultilevel"/>
    <w:tmpl w:val="DE726A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7B247F9"/>
    <w:multiLevelType w:val="hybridMultilevel"/>
    <w:tmpl w:val="E1C6F0F4"/>
    <w:lvl w:ilvl="0" w:tplc="55A06F9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D7835E2"/>
    <w:multiLevelType w:val="hybridMultilevel"/>
    <w:tmpl w:val="CC3CA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0225B9"/>
    <w:multiLevelType w:val="hybridMultilevel"/>
    <w:tmpl w:val="BC58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056CAF"/>
    <w:multiLevelType w:val="hybridMultilevel"/>
    <w:tmpl w:val="7C7C2C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B510BE8"/>
    <w:multiLevelType w:val="hybridMultilevel"/>
    <w:tmpl w:val="C962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A93E7F"/>
    <w:multiLevelType w:val="hybridMultilevel"/>
    <w:tmpl w:val="AEB4B178"/>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635EDD"/>
    <w:multiLevelType w:val="hybridMultilevel"/>
    <w:tmpl w:val="236EB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F4A1F"/>
    <w:multiLevelType w:val="hybridMultilevel"/>
    <w:tmpl w:val="B8D8C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4D78CB"/>
    <w:multiLevelType w:val="hybridMultilevel"/>
    <w:tmpl w:val="A2EE1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5E7601"/>
    <w:multiLevelType w:val="hybridMultilevel"/>
    <w:tmpl w:val="97FC394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8A2E78"/>
    <w:multiLevelType w:val="hybridMultilevel"/>
    <w:tmpl w:val="BFF6B906"/>
    <w:lvl w:ilvl="0" w:tplc="8FB6B86C">
      <w:start w:val="1"/>
      <w:numFmt w:val="bullet"/>
      <w:lvlText w:val="•"/>
      <w:lvlJc w:val="left"/>
      <w:pPr>
        <w:tabs>
          <w:tab w:val="num" w:pos="720"/>
        </w:tabs>
        <w:ind w:left="720" w:hanging="360"/>
      </w:pPr>
      <w:rPr>
        <w:rFonts w:ascii="Arial" w:hAnsi="Arial" w:hint="default"/>
      </w:rPr>
    </w:lvl>
    <w:lvl w:ilvl="1" w:tplc="BCDE3384">
      <w:start w:val="1150"/>
      <w:numFmt w:val="bullet"/>
      <w:lvlText w:val="•"/>
      <w:lvlJc w:val="left"/>
      <w:pPr>
        <w:tabs>
          <w:tab w:val="num" w:pos="1440"/>
        </w:tabs>
        <w:ind w:left="1440" w:hanging="360"/>
      </w:pPr>
      <w:rPr>
        <w:rFonts w:ascii="Arial" w:hAnsi="Arial" w:hint="default"/>
      </w:rPr>
    </w:lvl>
    <w:lvl w:ilvl="2" w:tplc="C99889A8" w:tentative="1">
      <w:start w:val="1"/>
      <w:numFmt w:val="bullet"/>
      <w:lvlText w:val="•"/>
      <w:lvlJc w:val="left"/>
      <w:pPr>
        <w:tabs>
          <w:tab w:val="num" w:pos="2160"/>
        </w:tabs>
        <w:ind w:left="2160" w:hanging="360"/>
      </w:pPr>
      <w:rPr>
        <w:rFonts w:ascii="Arial" w:hAnsi="Arial" w:hint="default"/>
      </w:rPr>
    </w:lvl>
    <w:lvl w:ilvl="3" w:tplc="77A45D78" w:tentative="1">
      <w:start w:val="1"/>
      <w:numFmt w:val="bullet"/>
      <w:lvlText w:val="•"/>
      <w:lvlJc w:val="left"/>
      <w:pPr>
        <w:tabs>
          <w:tab w:val="num" w:pos="2880"/>
        </w:tabs>
        <w:ind w:left="2880" w:hanging="360"/>
      </w:pPr>
      <w:rPr>
        <w:rFonts w:ascii="Arial" w:hAnsi="Arial" w:hint="default"/>
      </w:rPr>
    </w:lvl>
    <w:lvl w:ilvl="4" w:tplc="23D4C55A" w:tentative="1">
      <w:start w:val="1"/>
      <w:numFmt w:val="bullet"/>
      <w:lvlText w:val="•"/>
      <w:lvlJc w:val="left"/>
      <w:pPr>
        <w:tabs>
          <w:tab w:val="num" w:pos="3600"/>
        </w:tabs>
        <w:ind w:left="3600" w:hanging="360"/>
      </w:pPr>
      <w:rPr>
        <w:rFonts w:ascii="Arial" w:hAnsi="Arial" w:hint="default"/>
      </w:rPr>
    </w:lvl>
    <w:lvl w:ilvl="5" w:tplc="8BE4206A" w:tentative="1">
      <w:start w:val="1"/>
      <w:numFmt w:val="bullet"/>
      <w:lvlText w:val="•"/>
      <w:lvlJc w:val="left"/>
      <w:pPr>
        <w:tabs>
          <w:tab w:val="num" w:pos="4320"/>
        </w:tabs>
        <w:ind w:left="4320" w:hanging="360"/>
      </w:pPr>
      <w:rPr>
        <w:rFonts w:ascii="Arial" w:hAnsi="Arial" w:hint="default"/>
      </w:rPr>
    </w:lvl>
    <w:lvl w:ilvl="6" w:tplc="E2FC76EE" w:tentative="1">
      <w:start w:val="1"/>
      <w:numFmt w:val="bullet"/>
      <w:lvlText w:val="•"/>
      <w:lvlJc w:val="left"/>
      <w:pPr>
        <w:tabs>
          <w:tab w:val="num" w:pos="5040"/>
        </w:tabs>
        <w:ind w:left="5040" w:hanging="360"/>
      </w:pPr>
      <w:rPr>
        <w:rFonts w:ascii="Arial" w:hAnsi="Arial" w:hint="default"/>
      </w:rPr>
    </w:lvl>
    <w:lvl w:ilvl="7" w:tplc="1B12D13A" w:tentative="1">
      <w:start w:val="1"/>
      <w:numFmt w:val="bullet"/>
      <w:lvlText w:val="•"/>
      <w:lvlJc w:val="left"/>
      <w:pPr>
        <w:tabs>
          <w:tab w:val="num" w:pos="5760"/>
        </w:tabs>
        <w:ind w:left="5760" w:hanging="360"/>
      </w:pPr>
      <w:rPr>
        <w:rFonts w:ascii="Arial" w:hAnsi="Arial" w:hint="default"/>
      </w:rPr>
    </w:lvl>
    <w:lvl w:ilvl="8" w:tplc="5C78D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416D7F"/>
    <w:multiLevelType w:val="hybridMultilevel"/>
    <w:tmpl w:val="EC8C606A"/>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AB4D0C"/>
    <w:multiLevelType w:val="hybridMultilevel"/>
    <w:tmpl w:val="00B0A9F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3333E8"/>
    <w:multiLevelType w:val="hybridMultilevel"/>
    <w:tmpl w:val="30C0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1C22D8"/>
    <w:multiLevelType w:val="hybridMultilevel"/>
    <w:tmpl w:val="F07E9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9D7396"/>
    <w:multiLevelType w:val="hybridMultilevel"/>
    <w:tmpl w:val="3C18BE3C"/>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2F4944"/>
    <w:multiLevelType w:val="hybridMultilevel"/>
    <w:tmpl w:val="F078E440"/>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D939FD"/>
    <w:multiLevelType w:val="hybridMultilevel"/>
    <w:tmpl w:val="DB760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7956D6"/>
    <w:multiLevelType w:val="hybridMultilevel"/>
    <w:tmpl w:val="1B828D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D16152"/>
    <w:multiLevelType w:val="hybridMultilevel"/>
    <w:tmpl w:val="C1F4613C"/>
    <w:lvl w:ilvl="0" w:tplc="8FC63558">
      <w:start w:val="1"/>
      <w:numFmt w:val="bullet"/>
      <w:lvlText w:val="•"/>
      <w:lvlJc w:val="left"/>
      <w:pPr>
        <w:tabs>
          <w:tab w:val="num" w:pos="720"/>
        </w:tabs>
        <w:ind w:left="720" w:hanging="360"/>
      </w:pPr>
      <w:rPr>
        <w:rFonts w:ascii="Arial" w:hAnsi="Arial" w:hint="default"/>
      </w:rPr>
    </w:lvl>
    <w:lvl w:ilvl="1" w:tplc="EF00898E" w:tentative="1">
      <w:start w:val="1"/>
      <w:numFmt w:val="bullet"/>
      <w:lvlText w:val="•"/>
      <w:lvlJc w:val="left"/>
      <w:pPr>
        <w:tabs>
          <w:tab w:val="num" w:pos="1440"/>
        </w:tabs>
        <w:ind w:left="1440" w:hanging="360"/>
      </w:pPr>
      <w:rPr>
        <w:rFonts w:ascii="Arial" w:hAnsi="Arial" w:hint="default"/>
      </w:rPr>
    </w:lvl>
    <w:lvl w:ilvl="2" w:tplc="849CC94E" w:tentative="1">
      <w:start w:val="1"/>
      <w:numFmt w:val="bullet"/>
      <w:lvlText w:val="•"/>
      <w:lvlJc w:val="left"/>
      <w:pPr>
        <w:tabs>
          <w:tab w:val="num" w:pos="2160"/>
        </w:tabs>
        <w:ind w:left="2160" w:hanging="360"/>
      </w:pPr>
      <w:rPr>
        <w:rFonts w:ascii="Arial" w:hAnsi="Arial" w:hint="default"/>
      </w:rPr>
    </w:lvl>
    <w:lvl w:ilvl="3" w:tplc="4BEAE23E" w:tentative="1">
      <w:start w:val="1"/>
      <w:numFmt w:val="bullet"/>
      <w:lvlText w:val="•"/>
      <w:lvlJc w:val="left"/>
      <w:pPr>
        <w:tabs>
          <w:tab w:val="num" w:pos="2880"/>
        </w:tabs>
        <w:ind w:left="2880" w:hanging="360"/>
      </w:pPr>
      <w:rPr>
        <w:rFonts w:ascii="Arial" w:hAnsi="Arial" w:hint="default"/>
      </w:rPr>
    </w:lvl>
    <w:lvl w:ilvl="4" w:tplc="E5581534" w:tentative="1">
      <w:start w:val="1"/>
      <w:numFmt w:val="bullet"/>
      <w:lvlText w:val="•"/>
      <w:lvlJc w:val="left"/>
      <w:pPr>
        <w:tabs>
          <w:tab w:val="num" w:pos="3600"/>
        </w:tabs>
        <w:ind w:left="3600" w:hanging="360"/>
      </w:pPr>
      <w:rPr>
        <w:rFonts w:ascii="Arial" w:hAnsi="Arial" w:hint="default"/>
      </w:rPr>
    </w:lvl>
    <w:lvl w:ilvl="5" w:tplc="E3B2A1EE" w:tentative="1">
      <w:start w:val="1"/>
      <w:numFmt w:val="bullet"/>
      <w:lvlText w:val="•"/>
      <w:lvlJc w:val="left"/>
      <w:pPr>
        <w:tabs>
          <w:tab w:val="num" w:pos="4320"/>
        </w:tabs>
        <w:ind w:left="4320" w:hanging="360"/>
      </w:pPr>
      <w:rPr>
        <w:rFonts w:ascii="Arial" w:hAnsi="Arial" w:hint="default"/>
      </w:rPr>
    </w:lvl>
    <w:lvl w:ilvl="6" w:tplc="A036CB56" w:tentative="1">
      <w:start w:val="1"/>
      <w:numFmt w:val="bullet"/>
      <w:lvlText w:val="•"/>
      <w:lvlJc w:val="left"/>
      <w:pPr>
        <w:tabs>
          <w:tab w:val="num" w:pos="5040"/>
        </w:tabs>
        <w:ind w:left="5040" w:hanging="360"/>
      </w:pPr>
      <w:rPr>
        <w:rFonts w:ascii="Arial" w:hAnsi="Arial" w:hint="default"/>
      </w:rPr>
    </w:lvl>
    <w:lvl w:ilvl="7" w:tplc="28302FF8" w:tentative="1">
      <w:start w:val="1"/>
      <w:numFmt w:val="bullet"/>
      <w:lvlText w:val="•"/>
      <w:lvlJc w:val="left"/>
      <w:pPr>
        <w:tabs>
          <w:tab w:val="num" w:pos="5760"/>
        </w:tabs>
        <w:ind w:left="5760" w:hanging="360"/>
      </w:pPr>
      <w:rPr>
        <w:rFonts w:ascii="Arial" w:hAnsi="Arial" w:hint="default"/>
      </w:rPr>
    </w:lvl>
    <w:lvl w:ilvl="8" w:tplc="85B4E3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6D2A93"/>
    <w:multiLevelType w:val="hybridMultilevel"/>
    <w:tmpl w:val="E9F4D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8C2755"/>
    <w:multiLevelType w:val="hybridMultilevel"/>
    <w:tmpl w:val="3D681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9243B4"/>
    <w:multiLevelType w:val="hybridMultilevel"/>
    <w:tmpl w:val="1A4049B2"/>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A0223A"/>
    <w:multiLevelType w:val="hybridMultilevel"/>
    <w:tmpl w:val="8684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260F65"/>
    <w:multiLevelType w:val="hybridMultilevel"/>
    <w:tmpl w:val="981C0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201A31"/>
    <w:multiLevelType w:val="hybridMultilevel"/>
    <w:tmpl w:val="229E5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C800FAA"/>
    <w:multiLevelType w:val="hybridMultilevel"/>
    <w:tmpl w:val="6F882B16"/>
    <w:lvl w:ilvl="0" w:tplc="04150001">
      <w:start w:val="1"/>
      <w:numFmt w:val="bullet"/>
      <w:lvlText w:val=""/>
      <w:lvlJc w:val="left"/>
      <w:pPr>
        <w:tabs>
          <w:tab w:val="num" w:pos="720"/>
        </w:tabs>
        <w:ind w:left="720" w:hanging="360"/>
      </w:pPr>
      <w:rPr>
        <w:rFonts w:ascii="Symbol" w:hAnsi="Symbol" w:hint="default"/>
      </w:rPr>
    </w:lvl>
    <w:lvl w:ilvl="1" w:tplc="27D681B6" w:tentative="1">
      <w:start w:val="1"/>
      <w:numFmt w:val="bullet"/>
      <w:lvlText w:val=""/>
      <w:lvlJc w:val="left"/>
      <w:pPr>
        <w:tabs>
          <w:tab w:val="num" w:pos="1440"/>
        </w:tabs>
        <w:ind w:left="1440" w:hanging="360"/>
      </w:pPr>
      <w:rPr>
        <w:rFonts w:ascii="Wingdings" w:hAnsi="Wingdings" w:hint="default"/>
      </w:rPr>
    </w:lvl>
    <w:lvl w:ilvl="2" w:tplc="94C002F0" w:tentative="1">
      <w:start w:val="1"/>
      <w:numFmt w:val="bullet"/>
      <w:lvlText w:val=""/>
      <w:lvlJc w:val="left"/>
      <w:pPr>
        <w:tabs>
          <w:tab w:val="num" w:pos="2160"/>
        </w:tabs>
        <w:ind w:left="2160" w:hanging="360"/>
      </w:pPr>
      <w:rPr>
        <w:rFonts w:ascii="Wingdings" w:hAnsi="Wingdings" w:hint="default"/>
      </w:rPr>
    </w:lvl>
    <w:lvl w:ilvl="3" w:tplc="13F05664" w:tentative="1">
      <w:start w:val="1"/>
      <w:numFmt w:val="bullet"/>
      <w:lvlText w:val=""/>
      <w:lvlJc w:val="left"/>
      <w:pPr>
        <w:tabs>
          <w:tab w:val="num" w:pos="2880"/>
        </w:tabs>
        <w:ind w:left="2880" w:hanging="360"/>
      </w:pPr>
      <w:rPr>
        <w:rFonts w:ascii="Wingdings" w:hAnsi="Wingdings" w:hint="default"/>
      </w:rPr>
    </w:lvl>
    <w:lvl w:ilvl="4" w:tplc="9B965902" w:tentative="1">
      <w:start w:val="1"/>
      <w:numFmt w:val="bullet"/>
      <w:lvlText w:val=""/>
      <w:lvlJc w:val="left"/>
      <w:pPr>
        <w:tabs>
          <w:tab w:val="num" w:pos="3600"/>
        </w:tabs>
        <w:ind w:left="3600" w:hanging="360"/>
      </w:pPr>
      <w:rPr>
        <w:rFonts w:ascii="Wingdings" w:hAnsi="Wingdings" w:hint="default"/>
      </w:rPr>
    </w:lvl>
    <w:lvl w:ilvl="5" w:tplc="1294FE24" w:tentative="1">
      <w:start w:val="1"/>
      <w:numFmt w:val="bullet"/>
      <w:lvlText w:val=""/>
      <w:lvlJc w:val="left"/>
      <w:pPr>
        <w:tabs>
          <w:tab w:val="num" w:pos="4320"/>
        </w:tabs>
        <w:ind w:left="4320" w:hanging="360"/>
      </w:pPr>
      <w:rPr>
        <w:rFonts w:ascii="Wingdings" w:hAnsi="Wingdings" w:hint="default"/>
      </w:rPr>
    </w:lvl>
    <w:lvl w:ilvl="6" w:tplc="38661C66" w:tentative="1">
      <w:start w:val="1"/>
      <w:numFmt w:val="bullet"/>
      <w:lvlText w:val=""/>
      <w:lvlJc w:val="left"/>
      <w:pPr>
        <w:tabs>
          <w:tab w:val="num" w:pos="5040"/>
        </w:tabs>
        <w:ind w:left="5040" w:hanging="360"/>
      </w:pPr>
      <w:rPr>
        <w:rFonts w:ascii="Wingdings" w:hAnsi="Wingdings" w:hint="default"/>
      </w:rPr>
    </w:lvl>
    <w:lvl w:ilvl="7" w:tplc="B82018FC" w:tentative="1">
      <w:start w:val="1"/>
      <w:numFmt w:val="bullet"/>
      <w:lvlText w:val=""/>
      <w:lvlJc w:val="left"/>
      <w:pPr>
        <w:tabs>
          <w:tab w:val="num" w:pos="5760"/>
        </w:tabs>
        <w:ind w:left="5760" w:hanging="360"/>
      </w:pPr>
      <w:rPr>
        <w:rFonts w:ascii="Wingdings" w:hAnsi="Wingdings" w:hint="default"/>
      </w:rPr>
    </w:lvl>
    <w:lvl w:ilvl="8" w:tplc="E47892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712E2"/>
    <w:multiLevelType w:val="hybridMultilevel"/>
    <w:tmpl w:val="3B68776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3"/>
  </w:num>
  <w:num w:numId="3">
    <w:abstractNumId w:val="34"/>
  </w:num>
  <w:num w:numId="4">
    <w:abstractNumId w:val="16"/>
  </w:num>
  <w:num w:numId="5">
    <w:abstractNumId w:val="38"/>
  </w:num>
  <w:num w:numId="6">
    <w:abstractNumId w:val="39"/>
  </w:num>
  <w:num w:numId="7">
    <w:abstractNumId w:val="32"/>
  </w:num>
  <w:num w:numId="8">
    <w:abstractNumId w:val="6"/>
  </w:num>
  <w:num w:numId="9">
    <w:abstractNumId w:val="36"/>
  </w:num>
  <w:num w:numId="10">
    <w:abstractNumId w:val="1"/>
  </w:num>
  <w:num w:numId="11">
    <w:abstractNumId w:val="14"/>
  </w:num>
  <w:num w:numId="12">
    <w:abstractNumId w:val="17"/>
  </w:num>
  <w:num w:numId="13">
    <w:abstractNumId w:val="27"/>
  </w:num>
  <w:num w:numId="14">
    <w:abstractNumId w:val="37"/>
  </w:num>
  <w:num w:numId="15">
    <w:abstractNumId w:val="40"/>
  </w:num>
  <w:num w:numId="16">
    <w:abstractNumId w:val="31"/>
  </w:num>
  <w:num w:numId="17">
    <w:abstractNumId w:val="21"/>
  </w:num>
  <w:num w:numId="18">
    <w:abstractNumId w:val="5"/>
  </w:num>
  <w:num w:numId="19">
    <w:abstractNumId w:val="0"/>
  </w:num>
  <w:num w:numId="20">
    <w:abstractNumId w:val="12"/>
  </w:num>
  <w:num w:numId="21">
    <w:abstractNumId w:val="26"/>
  </w:num>
  <w:num w:numId="22">
    <w:abstractNumId w:val="2"/>
  </w:num>
  <w:num w:numId="23">
    <w:abstractNumId w:val="15"/>
  </w:num>
  <w:num w:numId="24">
    <w:abstractNumId w:val="30"/>
  </w:num>
  <w:num w:numId="25">
    <w:abstractNumId w:val="8"/>
  </w:num>
  <w:num w:numId="26">
    <w:abstractNumId w:val="33"/>
  </w:num>
  <w:num w:numId="27">
    <w:abstractNumId w:val="23"/>
  </w:num>
  <w:num w:numId="28">
    <w:abstractNumId w:val="4"/>
  </w:num>
  <w:num w:numId="29">
    <w:abstractNumId w:val="7"/>
  </w:num>
  <w:num w:numId="30">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10"/>
  </w:num>
  <w:num w:numId="32">
    <w:abstractNumId w:val="35"/>
  </w:num>
  <w:num w:numId="33">
    <w:abstractNumId w:val="29"/>
  </w:num>
  <w:num w:numId="34">
    <w:abstractNumId w:val="28"/>
  </w:num>
  <w:num w:numId="35">
    <w:abstractNumId w:val="25"/>
  </w:num>
  <w:num w:numId="36">
    <w:abstractNumId w:val="22"/>
  </w:num>
  <w:num w:numId="37">
    <w:abstractNumId w:val="9"/>
  </w:num>
  <w:num w:numId="38">
    <w:abstractNumId w:val="18"/>
  </w:num>
  <w:num w:numId="39">
    <w:abstractNumId w:val="13"/>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90"/>
    <w:rsid w:val="00093F8B"/>
    <w:rsid w:val="000F2929"/>
    <w:rsid w:val="001A29B8"/>
    <w:rsid w:val="002765FD"/>
    <w:rsid w:val="002A55DC"/>
    <w:rsid w:val="00313C47"/>
    <w:rsid w:val="003535B2"/>
    <w:rsid w:val="005C54A6"/>
    <w:rsid w:val="00766F9C"/>
    <w:rsid w:val="00907485"/>
    <w:rsid w:val="00A10DF0"/>
    <w:rsid w:val="00A2348A"/>
    <w:rsid w:val="00A960D5"/>
    <w:rsid w:val="00A970DA"/>
    <w:rsid w:val="00B064BC"/>
    <w:rsid w:val="00B61D0D"/>
    <w:rsid w:val="00B62A68"/>
    <w:rsid w:val="00B92534"/>
    <w:rsid w:val="00B9412D"/>
    <w:rsid w:val="00C36BD1"/>
    <w:rsid w:val="00C4666B"/>
    <w:rsid w:val="00C66264"/>
    <w:rsid w:val="00C92DAB"/>
    <w:rsid w:val="00CD22E8"/>
    <w:rsid w:val="00D01BF7"/>
    <w:rsid w:val="00D756A8"/>
    <w:rsid w:val="00E07E46"/>
    <w:rsid w:val="00E24190"/>
    <w:rsid w:val="00E71DAF"/>
    <w:rsid w:val="00EB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C92DAB"/>
    <w:pPr>
      <w:ind w:left="720"/>
      <w:contextualSpacing/>
    </w:pPr>
  </w:style>
  <w:style w:type="character" w:customStyle="1" w:styleId="AkapitzlistZnak">
    <w:name w:val="Akapit z listą Znak"/>
    <w:aliases w:val="Numerowanie Znak"/>
    <w:link w:val="Akapitzlist"/>
    <w:uiPriority w:val="34"/>
    <w:rsid w:val="00C92DAB"/>
  </w:style>
  <w:style w:type="paragraph" w:customStyle="1" w:styleId="TableMedium">
    <w:name w:val="Table_Medium"/>
    <w:basedOn w:val="Normalny"/>
    <w:rsid w:val="00C92DAB"/>
    <w:pPr>
      <w:spacing w:before="40" w:after="40" w:line="240" w:lineRule="auto"/>
    </w:pPr>
    <w:rPr>
      <w:rFonts w:ascii="Arial" w:eastAsia="Times New Roman" w:hAnsi="Arial" w:cs="Times New Roman"/>
      <w:sz w:val="18"/>
      <w:szCs w:val="20"/>
    </w:rPr>
  </w:style>
  <w:style w:type="table" w:styleId="Tabela-Siatka">
    <w:name w:val="Table Grid"/>
    <w:basedOn w:val="Standardowy"/>
    <w:uiPriority w:val="39"/>
    <w:rsid w:val="00C9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92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DAB"/>
  </w:style>
  <w:style w:type="paragraph" w:styleId="Nagwek">
    <w:name w:val="header"/>
    <w:basedOn w:val="Normalny"/>
    <w:link w:val="NagwekZnak"/>
    <w:uiPriority w:val="99"/>
    <w:unhideWhenUsed/>
    <w:rsid w:val="002765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2016-06-02T08:53:00Z</dcterms:created>
  <dcterms:modified xsi:type="dcterms:W3CDTF">2016-06-02T08:54:00Z</dcterms:modified>
</cp:coreProperties>
</file>